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D574F" w14:textId="41657CC4" w:rsidR="00AA4AC8" w:rsidRDefault="0082369C">
      <w:pPr>
        <w:pStyle w:val="3GPPHeader"/>
        <w:snapToGrid w:val="0"/>
        <w:rPr>
          <w:rFonts w:cs="Arial"/>
          <w:sz w:val="22"/>
        </w:rPr>
      </w:pPr>
      <w:bookmarkStart w:id="0" w:name="OLE_LINK1"/>
      <w:bookmarkStart w:id="1" w:name="OLE_LINK2"/>
      <w:r>
        <w:rPr>
          <w:rFonts w:cs="Arial"/>
          <w:sz w:val="22"/>
        </w:rPr>
        <w:t xml:space="preserve">3GPP TSG RAN WG1 </w:t>
      </w:r>
      <w:r>
        <w:rPr>
          <w:rFonts w:cs="Arial" w:hint="eastAsia"/>
          <w:sz w:val="22"/>
        </w:rPr>
        <w:t>#</w:t>
      </w:r>
      <w:r>
        <w:rPr>
          <w:rFonts w:cs="Arial"/>
          <w:sz w:val="22"/>
        </w:rPr>
        <w:t xml:space="preserve">107-e                                                                                                  </w:t>
      </w:r>
      <w:r>
        <w:rPr>
          <w:rFonts w:cs="Arial" w:hint="eastAsia"/>
          <w:sz w:val="22"/>
        </w:rPr>
        <w:t>R1-211</w:t>
      </w:r>
      <w:r w:rsidR="00CF303B" w:rsidRPr="00CF303B">
        <w:rPr>
          <w:rFonts w:cs="Arial"/>
          <w:sz w:val="22"/>
        </w:rPr>
        <w:t>266</w:t>
      </w:r>
      <w:r w:rsidR="0074082E">
        <w:rPr>
          <w:rFonts w:cs="Arial"/>
          <w:sz w:val="22"/>
        </w:rPr>
        <w:t>4</w:t>
      </w:r>
    </w:p>
    <w:p w14:paraId="6AEB54AD" w14:textId="77777777" w:rsidR="00AA4AC8" w:rsidRDefault="0082369C">
      <w:pPr>
        <w:pStyle w:val="Proposal"/>
        <w:numPr>
          <w:ilvl w:val="0"/>
          <w:numId w:val="0"/>
        </w:numPr>
        <w:snapToGrid w:val="0"/>
        <w:ind w:left="1701" w:hanging="1701"/>
        <w:rPr>
          <w:rFonts w:ascii="Arial" w:hAnsi="Arial" w:cs="Arial"/>
          <w:b w:val="0"/>
          <w:bCs w:val="0"/>
          <w:sz w:val="22"/>
        </w:rPr>
      </w:pPr>
      <w:r>
        <w:rPr>
          <w:rFonts w:ascii="Arial" w:hAnsi="Arial" w:cs="Arial"/>
          <w:sz w:val="22"/>
        </w:rPr>
        <w:t>e-Meeting, November 11</w:t>
      </w:r>
      <w:r>
        <w:rPr>
          <w:rFonts w:ascii="Arial" w:hAnsi="Arial" w:cs="Arial"/>
          <w:sz w:val="22"/>
          <w:vertAlign w:val="superscript"/>
        </w:rPr>
        <w:t>th</w:t>
      </w:r>
      <w:r>
        <w:rPr>
          <w:rFonts w:ascii="Arial" w:hAnsi="Arial" w:cs="Arial"/>
          <w:sz w:val="22"/>
        </w:rPr>
        <w:t xml:space="preserve"> – 19</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14:paraId="611C6F1A" w14:textId="77777777" w:rsidR="00AA4AC8" w:rsidRDefault="00AA4AC8">
      <w:pPr>
        <w:pStyle w:val="3GPPHeader"/>
        <w:snapToGrid w:val="0"/>
        <w:rPr>
          <w:rFonts w:cs="Arial"/>
          <w:sz w:val="22"/>
        </w:rPr>
      </w:pPr>
    </w:p>
    <w:p w14:paraId="1ADF14D6" w14:textId="77777777" w:rsidR="00AA4AC8" w:rsidRPr="00E92569" w:rsidRDefault="0082369C">
      <w:pPr>
        <w:pStyle w:val="3GPPHeader"/>
        <w:snapToGrid w:val="0"/>
        <w:rPr>
          <w:rFonts w:eastAsiaTheme="minorEastAsia" w:cs="Arial"/>
          <w:sz w:val="22"/>
        </w:rPr>
      </w:pPr>
      <w:r>
        <w:rPr>
          <w:rFonts w:cs="Arial"/>
          <w:sz w:val="22"/>
        </w:rPr>
        <w:t>Source:</w:t>
      </w:r>
      <w:r>
        <w:rPr>
          <w:rFonts w:cs="Arial"/>
          <w:sz w:val="22"/>
        </w:rPr>
        <w:tab/>
        <w:t>Moderator (ZTE)</w:t>
      </w:r>
    </w:p>
    <w:p w14:paraId="7B2F07CA" w14:textId="418E0683" w:rsidR="00AA4AC8" w:rsidRDefault="0082369C">
      <w:pPr>
        <w:pStyle w:val="3GPPHeader"/>
        <w:snapToGrid w:val="0"/>
        <w:rPr>
          <w:rFonts w:cs="Arial"/>
          <w:sz w:val="22"/>
        </w:rPr>
      </w:pPr>
      <w:r>
        <w:rPr>
          <w:rFonts w:cs="Arial"/>
          <w:sz w:val="22"/>
        </w:rPr>
        <w:t>Title:</w:t>
      </w:r>
      <w:r>
        <w:rPr>
          <w:rFonts w:cs="Arial"/>
          <w:sz w:val="22"/>
        </w:rPr>
        <w:tab/>
        <w:t>Summary</w:t>
      </w:r>
      <w:r w:rsidR="00E92569" w:rsidRPr="00E92569">
        <w:rPr>
          <w:rFonts w:cs="Arial" w:hint="eastAsia"/>
          <w:sz w:val="22"/>
        </w:rPr>
        <w:t>#</w:t>
      </w:r>
      <w:r w:rsidR="0074082E">
        <w:rPr>
          <w:rFonts w:cs="Arial"/>
          <w:sz w:val="22"/>
        </w:rPr>
        <w:t>3</w:t>
      </w:r>
      <w:r>
        <w:rPr>
          <w:rFonts w:cs="Arial"/>
          <w:sz w:val="22"/>
        </w:rPr>
        <w:t xml:space="preserve"> of AI 8.4.3 for HARQ in NTN</w:t>
      </w:r>
    </w:p>
    <w:p w14:paraId="564ADD79" w14:textId="77777777" w:rsidR="00AA4AC8" w:rsidRDefault="0082369C">
      <w:pPr>
        <w:pStyle w:val="3GPPHeader"/>
        <w:snapToGrid w:val="0"/>
        <w:rPr>
          <w:rFonts w:cs="Arial"/>
          <w:sz w:val="22"/>
        </w:rPr>
      </w:pPr>
      <w:r>
        <w:rPr>
          <w:rFonts w:cs="Arial"/>
          <w:sz w:val="22"/>
        </w:rPr>
        <w:t>Agenda Item:</w:t>
      </w:r>
      <w:r>
        <w:rPr>
          <w:rFonts w:cs="Arial"/>
          <w:sz w:val="22"/>
        </w:rPr>
        <w:tab/>
        <w:t>8.4.3</w:t>
      </w:r>
    </w:p>
    <w:bookmarkEnd w:id="0"/>
    <w:bookmarkEnd w:id="1"/>
    <w:p w14:paraId="111F4600" w14:textId="77777777" w:rsidR="00AA4AC8" w:rsidRDefault="0082369C">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7CD15B5"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11C6CB4D" w14:textId="77777777" w:rsidR="00AA4AC8" w:rsidRDefault="0082369C">
      <w:pPr>
        <w:snapToGrid w:val="0"/>
        <w:spacing w:beforeLines="50" w:before="120" w:afterLines="50" w:after="120"/>
        <w:ind w:leftChars="100" w:left="200"/>
        <w:rPr>
          <w:rFonts w:eastAsiaTheme="minorEastAsia"/>
        </w:rPr>
      </w:pPr>
      <w:r>
        <w:rPr>
          <w:rFonts w:eastAsiaTheme="minorEastAsia"/>
        </w:rPr>
        <w:t xml:space="preserve">In </w:t>
      </w:r>
      <w:r>
        <w:rPr>
          <w:rFonts w:eastAsiaTheme="minorEastAsia" w:hint="eastAsia"/>
        </w:rPr>
        <w:t>previous</w:t>
      </w:r>
      <w:r>
        <w:rPr>
          <w:rFonts w:eastAsiaTheme="minorEastAsia"/>
        </w:rPr>
        <w:t xml:space="preserve"> meeting, progress on HARQ related issues have been achieved. In this meeting, companies’ views to refine the details and on other remaining issues are summarized with corresponding observations/proposals on following aspects with detailed proposals from each company listed in Appendix.</w:t>
      </w:r>
    </w:p>
    <w:p w14:paraId="1271F6E8"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HARQ codebook enhancements</w:t>
      </w:r>
    </w:p>
    <w:p w14:paraId="3919E305"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PS PDSCH</w:t>
      </w:r>
    </w:p>
    <w:p w14:paraId="31270E42"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PDSCH scheduling restriction </w:t>
      </w:r>
    </w:p>
    <w:p w14:paraId="425AD2D7"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Performance enhancement</w:t>
      </w:r>
    </w:p>
    <w:p w14:paraId="31576C48"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UE capability for new feature</w:t>
      </w:r>
    </w:p>
    <w:p w14:paraId="01E1C866"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Restriction on HARQ feedback disabling</w:t>
      </w:r>
    </w:p>
    <w:p w14:paraId="4DD1940C"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P</w:t>
      </w:r>
      <w:r>
        <w:rPr>
          <w:rFonts w:ascii="Times New Roman" w:eastAsiaTheme="minorEastAsia" w:hAnsi="Times New Roman"/>
          <w:sz w:val="20"/>
          <w:szCs w:val="20"/>
        </w:rPr>
        <w:t>USCH scheduling restriction</w:t>
      </w:r>
    </w:p>
    <w:p w14:paraId="7C296387" w14:textId="77777777" w:rsidR="00AA4AC8" w:rsidRDefault="0082369C">
      <w:pPr>
        <w:pStyle w:val="afc"/>
        <w:numPr>
          <w:ilvl w:val="0"/>
          <w:numId w:val="11"/>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RRC parameters</w:t>
      </w:r>
    </w:p>
    <w:p w14:paraId="5ADC3AB6" w14:textId="77777777" w:rsidR="00AA4AC8" w:rsidRDefault="0082369C">
      <w:pPr>
        <w:snapToGrid w:val="0"/>
        <w:spacing w:beforeLines="50" w:before="120" w:afterLines="50" w:after="120"/>
        <w:ind w:left="200"/>
        <w:rPr>
          <w:rFonts w:eastAsiaTheme="minorEastAsia"/>
        </w:rPr>
      </w:pPr>
      <w:r>
        <w:rPr>
          <w:rFonts w:eastAsiaTheme="minorEastAsia" w:hint="eastAsia"/>
        </w:rPr>
        <w:t>Companies</w:t>
      </w:r>
      <w:r>
        <w:rPr>
          <w:rFonts w:eastAsiaTheme="minorEastAsia"/>
        </w:rPr>
        <w:t xml:space="preserve"> are encouraged to provide the inputs on Issue-1/2/3/4/5/6 in the 1</w:t>
      </w:r>
      <w:r>
        <w:rPr>
          <w:rFonts w:eastAsiaTheme="minorEastAsia"/>
          <w:vertAlign w:val="superscript"/>
        </w:rPr>
        <w:t>st</w:t>
      </w:r>
      <w:r>
        <w:rPr>
          <w:rFonts w:eastAsiaTheme="minorEastAsia"/>
        </w:rPr>
        <w:t xml:space="preserve"> round discussion.</w:t>
      </w:r>
    </w:p>
    <w:p w14:paraId="4DC53DF2"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Issue-1 HARQ codebook enhancements </w:t>
      </w:r>
    </w:p>
    <w:p w14:paraId="22E640FC" w14:textId="77777777" w:rsidR="00AA4AC8" w:rsidRDefault="0082369C">
      <w:pPr>
        <w:snapToGrid w:val="0"/>
        <w:spacing w:beforeLines="50" w:before="120" w:afterLines="50" w:after="120"/>
        <w:ind w:leftChars="100" w:left="200"/>
        <w:rPr>
          <w:rFonts w:eastAsiaTheme="minorEastAsia"/>
        </w:rPr>
      </w:pPr>
      <w:r>
        <w:rPr>
          <w:rFonts w:eastAsiaTheme="minorEastAsia"/>
        </w:rPr>
        <w:t xml:space="preserve">In the previous meeting, following agreements have been achieved: </w:t>
      </w:r>
    </w:p>
    <w:p w14:paraId="7657D5BD" w14:textId="77777777" w:rsidR="00AA4AC8" w:rsidRDefault="0082369C">
      <w:pPr>
        <w:spacing w:beforeLines="50" w:before="120" w:afterLines="50" w:after="120"/>
        <w:ind w:leftChars="100" w:left="200"/>
      </w:pPr>
      <w:r>
        <w:rPr>
          <w:highlight w:val="green"/>
        </w:rPr>
        <w:t>Agreement:</w:t>
      </w:r>
    </w:p>
    <w:p w14:paraId="22AFBDD4" w14:textId="77777777" w:rsidR="00AA4AC8" w:rsidRDefault="0082369C">
      <w:pPr>
        <w:numPr>
          <w:ilvl w:val="0"/>
          <w:numId w:val="12"/>
        </w:numPr>
        <w:overflowPunct/>
        <w:autoSpaceDE/>
        <w:autoSpaceDN/>
        <w:adjustRightInd/>
        <w:spacing w:after="0"/>
        <w:ind w:leftChars="280" w:left="920"/>
        <w:textAlignment w:val="auto"/>
        <w:rPr>
          <w:bCs/>
        </w:rPr>
      </w:pPr>
      <w:r>
        <w:rPr>
          <w:bCs/>
        </w:rPr>
        <w:t>For Type-1 HARQ codebook,</w:t>
      </w:r>
      <w:r>
        <w:t xml:space="preserve"> if DCIs carrying the feedback-disabled and feedback-enabled HARQ processes are detected by UE, one of following option</w:t>
      </w:r>
      <w:r>
        <w:rPr>
          <w:bCs/>
        </w:rPr>
        <w:t>s should be supported:</w:t>
      </w:r>
    </w:p>
    <w:p w14:paraId="4B1245C2" w14:textId="77777777" w:rsidR="00AA4AC8" w:rsidRDefault="0082369C">
      <w:pPr>
        <w:numPr>
          <w:ilvl w:val="1"/>
          <w:numId w:val="12"/>
        </w:numPr>
        <w:overflowPunct/>
        <w:autoSpaceDE/>
        <w:autoSpaceDN/>
        <w:adjustRightInd/>
        <w:spacing w:after="0"/>
        <w:ind w:leftChars="313" w:left="986"/>
        <w:textAlignment w:val="auto"/>
        <w:rPr>
          <w:bCs/>
        </w:rPr>
      </w:pPr>
      <w:r>
        <w:rPr>
          <w:bCs/>
        </w:rPr>
        <w:t>Option-1: The UE will r</w:t>
      </w:r>
      <w:r>
        <w:t>eport NACK only for the feedback-disabled HARQ process regardless of decoding results of corresponding PDSCH</w:t>
      </w:r>
    </w:p>
    <w:p w14:paraId="170AF1DB" w14:textId="77777777" w:rsidR="00AA4AC8" w:rsidRDefault="0082369C">
      <w:pPr>
        <w:numPr>
          <w:ilvl w:val="1"/>
          <w:numId w:val="12"/>
        </w:numPr>
        <w:overflowPunct/>
        <w:autoSpaceDE/>
        <w:autoSpaceDN/>
        <w:adjustRightInd/>
        <w:spacing w:after="0"/>
        <w:ind w:leftChars="313" w:left="986"/>
        <w:textAlignment w:val="auto"/>
        <w:rPr>
          <w:bCs/>
        </w:rPr>
      </w:pPr>
      <w:r>
        <w:rPr>
          <w:bCs/>
        </w:rPr>
        <w:t>Option-2: The UE will report NACK/ACK for the feedback-disabled HARQ process depending on the decoding results of corresponding PDSCH</w:t>
      </w:r>
    </w:p>
    <w:p w14:paraId="19ED11E3" w14:textId="77777777" w:rsidR="00AA4AC8" w:rsidRDefault="0082369C">
      <w:pPr>
        <w:numPr>
          <w:ilvl w:val="0"/>
          <w:numId w:val="12"/>
        </w:numPr>
        <w:overflowPunct/>
        <w:autoSpaceDE/>
        <w:autoSpaceDN/>
        <w:adjustRightInd/>
        <w:spacing w:after="0"/>
        <w:ind w:leftChars="280" w:left="920"/>
        <w:textAlignment w:val="auto"/>
      </w:pPr>
      <w:r>
        <w:t>FFS: Other cases, e.g., if only DCI carrying feedback-disabled HARQ process is detected by UE</w:t>
      </w:r>
    </w:p>
    <w:p w14:paraId="36D3F533" w14:textId="77777777" w:rsidR="00AA4AC8" w:rsidRDefault="0082369C">
      <w:pPr>
        <w:spacing w:beforeLines="50" w:before="120" w:afterLines="50" w:after="120"/>
        <w:ind w:leftChars="100" w:left="200"/>
      </w:pPr>
      <w:r>
        <w:rPr>
          <w:highlight w:val="green"/>
        </w:rPr>
        <w:t>Agreement:</w:t>
      </w:r>
    </w:p>
    <w:p w14:paraId="7C728728" w14:textId="77777777" w:rsidR="00AA4AC8" w:rsidRDefault="0082369C">
      <w:pPr>
        <w:spacing w:after="0"/>
        <w:ind w:leftChars="100" w:left="200"/>
      </w:pPr>
      <w:r>
        <w:t>For Type-1 HARQ codebook, if only DCI carrying feedback-disabled HARQ process is detected by UE, one of following options should be supported:</w:t>
      </w:r>
    </w:p>
    <w:p w14:paraId="50B7FD5F" w14:textId="77777777" w:rsidR="00AA4AC8" w:rsidRDefault="0082369C">
      <w:pPr>
        <w:numPr>
          <w:ilvl w:val="0"/>
          <w:numId w:val="13"/>
        </w:numPr>
        <w:overflowPunct/>
        <w:autoSpaceDE/>
        <w:autoSpaceDN/>
        <w:adjustRightInd/>
        <w:spacing w:after="0"/>
        <w:ind w:leftChars="280" w:left="920"/>
        <w:textAlignment w:val="auto"/>
      </w:pPr>
      <w:r>
        <w:t>Option-1: The UE’s behavior is same as the case if DCIs carrying the feedback-disabled and feedback-enabled HARQ processes are detected by UE</w:t>
      </w:r>
    </w:p>
    <w:p w14:paraId="3D7FF875" w14:textId="77777777" w:rsidR="00AA4AC8" w:rsidRDefault="0082369C">
      <w:pPr>
        <w:numPr>
          <w:ilvl w:val="0"/>
          <w:numId w:val="13"/>
        </w:numPr>
        <w:overflowPunct/>
        <w:autoSpaceDE/>
        <w:autoSpaceDN/>
        <w:adjustRightInd/>
        <w:spacing w:after="0"/>
        <w:ind w:leftChars="280" w:left="920"/>
        <w:textAlignment w:val="auto"/>
      </w:pPr>
      <w:r>
        <w:t>Option-2: The UE should skip the codebook feedback at least when the feedback is carried by PUCCH</w:t>
      </w:r>
    </w:p>
    <w:p w14:paraId="716B7D43" w14:textId="77777777" w:rsidR="00AA4AC8" w:rsidRDefault="0082369C">
      <w:pPr>
        <w:numPr>
          <w:ilvl w:val="1"/>
          <w:numId w:val="13"/>
        </w:numPr>
        <w:overflowPunct/>
        <w:autoSpaceDE/>
        <w:autoSpaceDN/>
        <w:adjustRightInd/>
        <w:spacing w:after="0"/>
        <w:ind w:leftChars="640" w:left="1640"/>
        <w:textAlignment w:val="auto"/>
      </w:pPr>
      <w:r>
        <w:t xml:space="preserve">FFS: the case that feedback is carried by PUSCH. </w:t>
      </w:r>
    </w:p>
    <w:p w14:paraId="43B16E99" w14:textId="77777777" w:rsidR="00AA4AC8" w:rsidRDefault="0082369C">
      <w:pPr>
        <w:spacing w:beforeLines="50" w:before="120" w:afterLines="50" w:after="120"/>
        <w:ind w:leftChars="100" w:left="200"/>
      </w:pPr>
      <w:r>
        <w:rPr>
          <w:highlight w:val="green"/>
        </w:rPr>
        <w:t>Agreement:</w:t>
      </w:r>
    </w:p>
    <w:p w14:paraId="08ECB5C8" w14:textId="77777777" w:rsidR="00AA4AC8" w:rsidRDefault="0082369C">
      <w:pPr>
        <w:spacing w:after="0"/>
        <w:ind w:leftChars="100" w:left="200"/>
        <w:rPr>
          <w:bCs/>
        </w:rPr>
      </w:pPr>
      <w:r>
        <w:rPr>
          <w:bCs/>
        </w:rPr>
        <w:t xml:space="preserve">For </w:t>
      </w:r>
      <w:r>
        <w:t xml:space="preserve">the </w:t>
      </w:r>
      <w:r>
        <w:rPr>
          <w:bCs/>
        </w:rPr>
        <w:t>DCI of PDSCH with feedback-disabled HARQ processes, only one of following is supported for Type-2 codebook:</w:t>
      </w:r>
    </w:p>
    <w:p w14:paraId="7C067718" w14:textId="77777777" w:rsidR="00AA4AC8" w:rsidRDefault="0082369C">
      <w:pPr>
        <w:numPr>
          <w:ilvl w:val="0"/>
          <w:numId w:val="12"/>
        </w:numPr>
        <w:overflowPunct/>
        <w:autoSpaceDE/>
        <w:autoSpaceDN/>
        <w:adjustRightInd/>
        <w:spacing w:after="0"/>
        <w:ind w:leftChars="280" w:left="920"/>
        <w:textAlignment w:val="auto"/>
        <w:rPr>
          <w:bCs/>
        </w:rPr>
      </w:pPr>
      <w:r>
        <w:rPr>
          <w:bCs/>
        </w:rPr>
        <w:t>Option-1: The C-DAI and T-DAI are the count of feedback-enabled processes, despite they are not incremented, and are taken into account by the UE for type 2 codebook generation.</w:t>
      </w:r>
    </w:p>
    <w:p w14:paraId="1F13D1D3" w14:textId="77777777" w:rsidR="00AA4AC8" w:rsidRDefault="0082369C">
      <w:pPr>
        <w:numPr>
          <w:ilvl w:val="0"/>
          <w:numId w:val="12"/>
        </w:numPr>
        <w:overflowPunct/>
        <w:autoSpaceDE/>
        <w:autoSpaceDN/>
        <w:adjustRightInd/>
        <w:spacing w:after="0"/>
        <w:ind w:leftChars="280" w:left="920"/>
        <w:textAlignment w:val="auto"/>
      </w:pPr>
      <w:r>
        <w:rPr>
          <w:bCs/>
        </w:rPr>
        <w:t xml:space="preserve">Option-2: The C-DAI and T-DAI are ignored by the UE regardless of the value </w:t>
      </w:r>
      <w:r>
        <w:t>for Type 2 codebook generation.</w:t>
      </w:r>
    </w:p>
    <w:p w14:paraId="56655A1A"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lastRenderedPageBreak/>
        <w:t xml:space="preserve">Type-1 Codebook:  </w:t>
      </w:r>
    </w:p>
    <w:p w14:paraId="093E781B"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 xml:space="preserve">Company view (Round-1) </w:t>
      </w:r>
    </w:p>
    <w:p w14:paraId="3C92636C" w14:textId="77777777" w:rsidR="00AA4AC8" w:rsidRDefault="0082369C">
      <w:pPr>
        <w:pStyle w:val="afc"/>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For this topic, discussion on following two cases are conducted based on the previous agreement. It should be noticed that decision for down-selection is needed among options:</w:t>
      </w:r>
    </w:p>
    <w:p w14:paraId="56FD083D" w14:textId="77777777" w:rsidR="00AA4AC8" w:rsidRDefault="0082369C">
      <w:pPr>
        <w:pStyle w:val="afc"/>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Case-1: </w:t>
      </w:r>
      <w:r>
        <w:rPr>
          <w:rFonts w:ascii="Times New Roman" w:hAnsi="Times New Roman"/>
          <w:sz w:val="20"/>
          <w:szCs w:val="20"/>
        </w:rPr>
        <w:t>if DCIs carrying the feedback-disabled and feedback-enabled HARQ processes are detected by UE</w:t>
      </w:r>
    </w:p>
    <w:p w14:paraId="4431FC7A" w14:textId="77777777" w:rsidR="00AA4AC8" w:rsidRDefault="0082369C">
      <w:pPr>
        <w:pStyle w:val="afc"/>
        <w:numPr>
          <w:ilvl w:val="1"/>
          <w:numId w:val="15"/>
        </w:numPr>
        <w:snapToGrid w:val="0"/>
        <w:spacing w:beforeLines="50" w:before="120" w:afterLines="50" w:after="120"/>
        <w:ind w:leftChars="422"/>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Option-1: </w:t>
      </w:r>
      <w:r>
        <w:rPr>
          <w:rFonts w:ascii="Times New Roman" w:hAnsi="Times New Roman"/>
          <w:bCs/>
          <w:sz w:val="20"/>
          <w:szCs w:val="20"/>
        </w:rPr>
        <w:t>The UE will r</w:t>
      </w:r>
      <w:r>
        <w:rPr>
          <w:rFonts w:ascii="Times New Roman" w:hAnsi="Times New Roman"/>
          <w:sz w:val="20"/>
          <w:szCs w:val="20"/>
        </w:rPr>
        <w:t>eport NACK only for the feedback-disabled HARQ process regardless of decoding results of corresponding PDSCH</w:t>
      </w:r>
    </w:p>
    <w:p w14:paraId="4CAFB8E0" w14:textId="77777777" w:rsidR="00AA4AC8" w:rsidRDefault="0082369C">
      <w:pPr>
        <w:pStyle w:val="afc"/>
        <w:numPr>
          <w:ilvl w:val="2"/>
          <w:numId w:val="15"/>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[Huawei, NEC, Xiaomi, DCM, ZTE, Apple, QC]</w:t>
      </w:r>
    </w:p>
    <w:p w14:paraId="0C543A14" w14:textId="77777777" w:rsidR="00AA4AC8" w:rsidRDefault="0082369C">
      <w:pPr>
        <w:pStyle w:val="afc"/>
        <w:snapToGrid w:val="0"/>
        <w:spacing w:beforeLines="50" w:before="120" w:afterLines="50" w:after="120"/>
        <w:ind w:left="1684"/>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Regarding this option, as highlighted by proponent, there are benefits to relax to decoding timeline at UE side and relax the scheduling at gNB. And </w:t>
      </w:r>
      <w:r>
        <w:rPr>
          <w:rFonts w:ascii="Times New Roman" w:eastAsiaTheme="minorEastAsia" w:hAnsi="Times New Roman"/>
          <w:sz w:val="20"/>
          <w:szCs w:val="20"/>
        </w:rPr>
        <w:t>Option 2 is more complicated option rather easier one from perspectives of gNB scheduler and UE soft-buffer management due to processing time constraints.</w:t>
      </w:r>
      <w:r>
        <w:rPr>
          <w:rFonts w:ascii="Times New Roman" w:eastAsiaTheme="minorEastAsia" w:hAnsi="Times New Roman"/>
          <w:color w:val="000000" w:themeColor="text1"/>
          <w:sz w:val="20"/>
          <w:szCs w:val="20"/>
        </w:rPr>
        <w:t xml:space="preserve"> Moreover, with </w:t>
      </w:r>
      <w:r>
        <w:rPr>
          <w:rFonts w:ascii="Times New Roman" w:hAnsi="Times New Roman"/>
          <w:sz w:val="20"/>
          <w:szCs w:val="20"/>
        </w:rPr>
        <w:t>inserting NACK at the position of feedback-disabled HARQ process, at least the pre-known NACKs, the decoder performance of Reed-Mueller code and polar code at gNB side can also be improved.</w:t>
      </w:r>
    </w:p>
    <w:p w14:paraId="1644B66F" w14:textId="77777777" w:rsidR="00AA4AC8" w:rsidRDefault="0082369C">
      <w:pPr>
        <w:pStyle w:val="afc"/>
        <w:numPr>
          <w:ilvl w:val="1"/>
          <w:numId w:val="15"/>
        </w:numPr>
        <w:snapToGrid w:val="0"/>
        <w:spacing w:beforeLines="50" w:before="120" w:afterLines="50" w:after="120"/>
        <w:ind w:leftChars="422"/>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Option-2: The UE will report NACK/ACK for the feedback-disabled HARQ process depending on the decoding results of corresponding PDSCH</w:t>
      </w:r>
    </w:p>
    <w:p w14:paraId="65177765" w14:textId="77777777" w:rsidR="00AA4AC8" w:rsidRDefault="0082369C">
      <w:pPr>
        <w:pStyle w:val="afc"/>
        <w:numPr>
          <w:ilvl w:val="2"/>
          <w:numId w:val="15"/>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[Spreadtrum, OPPO, Nokia, CATT, CMCC, CAICT, Baicell, vivo, Panasonic]</w:t>
      </w:r>
    </w:p>
    <w:p w14:paraId="504C4AF0" w14:textId="77777777" w:rsidR="00AA4AC8" w:rsidRDefault="0082369C">
      <w:pPr>
        <w:pStyle w:val="afc"/>
        <w:snapToGrid w:val="0"/>
        <w:spacing w:beforeLines="50" w:before="120" w:afterLines="50" w:after="120"/>
        <w:ind w:left="1684"/>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Regarding this option, as highlighted by proponent, the main benefit is to enable the gNB to predict the channel state (e.g., chose the proper CQI) even it will be received at gNB with delay.</w:t>
      </w:r>
    </w:p>
    <w:p w14:paraId="19E3AC96" w14:textId="77777777" w:rsidR="00AA4AC8" w:rsidRDefault="0082369C">
      <w:pPr>
        <w:pStyle w:val="afc"/>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Case-2: </w:t>
      </w:r>
      <w:r>
        <w:rPr>
          <w:rFonts w:ascii="Times New Roman" w:hAnsi="Times New Roman"/>
          <w:sz w:val="20"/>
          <w:szCs w:val="20"/>
        </w:rPr>
        <w:t>if only DCI carrying feedback-disabled HARQ process is detected by UE</w:t>
      </w:r>
    </w:p>
    <w:p w14:paraId="4E60B056" w14:textId="77777777" w:rsidR="00AA4AC8" w:rsidRDefault="0082369C">
      <w:pPr>
        <w:pStyle w:val="afc"/>
        <w:numPr>
          <w:ilvl w:val="1"/>
          <w:numId w:val="15"/>
        </w:numPr>
        <w:snapToGrid w:val="0"/>
        <w:spacing w:beforeLines="50" w:before="120" w:afterLines="50" w:after="120"/>
        <w:ind w:leftChars="422"/>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 xml:space="preserve">Option-1: </w:t>
      </w:r>
      <w:r>
        <w:rPr>
          <w:rFonts w:ascii="Times New Roman" w:hAnsi="Times New Roman"/>
          <w:sz w:val="20"/>
          <w:szCs w:val="20"/>
        </w:rPr>
        <w:t>The UE’s behavior is same as the case if DCIs carrying the feedback-disabled and feedback-enabled HARQ processes are detected by UE</w:t>
      </w:r>
    </w:p>
    <w:p w14:paraId="6E59B5C5" w14:textId="77777777" w:rsidR="00AA4AC8" w:rsidRDefault="0082369C">
      <w:pPr>
        <w:pStyle w:val="afc"/>
        <w:numPr>
          <w:ilvl w:val="2"/>
          <w:numId w:val="15"/>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[Huawei, Xiaomi, Apple, Spreadtrum, Nokia (1</w:t>
      </w:r>
      <w:r>
        <w:rPr>
          <w:rFonts w:ascii="Times New Roman" w:eastAsiaTheme="minorEastAsia" w:hAnsi="Times New Roman"/>
          <w:color w:val="000000" w:themeColor="text1"/>
          <w:sz w:val="20"/>
          <w:szCs w:val="20"/>
          <w:vertAlign w:val="superscript"/>
        </w:rPr>
        <w:t>st</w:t>
      </w:r>
      <w:r>
        <w:rPr>
          <w:rFonts w:ascii="Times New Roman" w:eastAsiaTheme="minorEastAsia" w:hAnsi="Times New Roman"/>
          <w:color w:val="000000" w:themeColor="text1"/>
          <w:sz w:val="20"/>
          <w:szCs w:val="20"/>
        </w:rPr>
        <w:t xml:space="preserve"> priority), Samsung] </w:t>
      </w:r>
    </w:p>
    <w:p w14:paraId="029F414E" w14:textId="77777777" w:rsidR="00AA4AC8" w:rsidRDefault="0082369C">
      <w:pPr>
        <w:pStyle w:val="afc"/>
        <w:snapToGrid w:val="0"/>
        <w:spacing w:beforeLines="50" w:before="120" w:afterLines="50" w:after="120"/>
        <w:ind w:left="1684"/>
        <w:rPr>
          <w:rFonts w:ascii="Times New Roman" w:eastAsiaTheme="minorEastAsia" w:hAnsi="Times New Roman"/>
          <w:kern w:val="2"/>
          <w:sz w:val="20"/>
          <w:szCs w:val="20"/>
        </w:rPr>
      </w:pPr>
      <w:r>
        <w:rPr>
          <w:rFonts w:ascii="Times New Roman" w:eastAsiaTheme="minorEastAsia" w:hAnsi="Times New Roman"/>
          <w:color w:val="000000" w:themeColor="text1"/>
          <w:sz w:val="20"/>
          <w:szCs w:val="20"/>
        </w:rPr>
        <w:t>Regarding this option, as highlighted by proponent</w:t>
      </w:r>
      <w:r>
        <w:rPr>
          <w:rFonts w:ascii="Times New Roman" w:hAnsi="Times New Roman"/>
          <w:sz w:val="20"/>
          <w:szCs w:val="20"/>
        </w:rPr>
        <w:t xml:space="preserve">, the case where all the scheduled HARQ processes are disabled is a corner case as there is a large possibility that the HARQ codebook contains the feedback for TAC and </w:t>
      </w:r>
      <w:r>
        <w:rPr>
          <w:rFonts w:ascii="Times New Roman" w:eastAsiaTheme="minorEastAsia" w:hAnsi="Times New Roman"/>
          <w:kern w:val="2"/>
          <w:sz w:val="20"/>
          <w:szCs w:val="20"/>
        </w:rPr>
        <w:t>as long as one feedback-enabled HARQ process is scheduled, the gNB has to reserve feedback resources anyway.</w:t>
      </w:r>
    </w:p>
    <w:p w14:paraId="3298EED4" w14:textId="77777777" w:rsidR="00AA4AC8" w:rsidRDefault="0082369C">
      <w:pPr>
        <w:pStyle w:val="afc"/>
        <w:numPr>
          <w:ilvl w:val="1"/>
          <w:numId w:val="15"/>
        </w:numPr>
        <w:snapToGrid w:val="0"/>
        <w:spacing w:beforeLines="50" w:before="120" w:afterLines="50" w:after="120"/>
        <w:ind w:leftChars="422"/>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Option-2: The UE should skip the HARQ codebook feedback when it is not multiplexed with other feedback in the same UCI.</w:t>
      </w:r>
    </w:p>
    <w:p w14:paraId="300F1C47" w14:textId="77777777" w:rsidR="00AA4AC8" w:rsidRDefault="0082369C">
      <w:pPr>
        <w:pStyle w:val="afc"/>
        <w:numPr>
          <w:ilvl w:val="2"/>
          <w:numId w:val="15"/>
        </w:numPr>
        <w:snapToGrid w:val="0"/>
        <w:spacing w:beforeLines="50" w:before="120" w:afterLines="50" w:after="120"/>
        <w:rPr>
          <w:rFonts w:ascii="Times New Roman" w:eastAsiaTheme="minorEastAsia" w:hAnsi="Times New Roman"/>
          <w:color w:val="000000" w:themeColor="text1"/>
          <w:sz w:val="20"/>
          <w:szCs w:val="20"/>
        </w:rPr>
      </w:pPr>
      <w:r>
        <w:rPr>
          <w:rFonts w:ascii="Times New Roman" w:eastAsiaTheme="minorEastAsia" w:hAnsi="Times New Roman"/>
          <w:color w:val="000000" w:themeColor="text1"/>
          <w:sz w:val="20"/>
          <w:szCs w:val="20"/>
        </w:rPr>
        <w:t>Supported by [vivo, Nokia (2</w:t>
      </w:r>
      <w:r>
        <w:rPr>
          <w:rFonts w:ascii="Times New Roman" w:eastAsiaTheme="minorEastAsia" w:hAnsi="Times New Roman"/>
          <w:color w:val="000000" w:themeColor="text1"/>
          <w:sz w:val="20"/>
          <w:szCs w:val="20"/>
          <w:vertAlign w:val="superscript"/>
        </w:rPr>
        <w:t>nd</w:t>
      </w:r>
      <w:r>
        <w:rPr>
          <w:rFonts w:ascii="Times New Roman" w:eastAsiaTheme="minorEastAsia" w:hAnsi="Times New Roman"/>
          <w:color w:val="000000" w:themeColor="text1"/>
          <w:sz w:val="20"/>
          <w:szCs w:val="20"/>
        </w:rPr>
        <w:t xml:space="preserve"> preference), CMCC, CAICT,NEC,  DCM, Baicell, ZTE, Ericsson, ITL]</w:t>
      </w:r>
    </w:p>
    <w:p w14:paraId="4EBC916E" w14:textId="77777777" w:rsidR="00AA4AC8" w:rsidRDefault="0082369C">
      <w:pPr>
        <w:pStyle w:val="afc"/>
        <w:snapToGrid w:val="0"/>
        <w:spacing w:beforeLines="50" w:before="120" w:afterLines="50" w:after="120"/>
        <w:ind w:left="1684"/>
        <w:rPr>
          <w:rFonts w:ascii="Times New Roman" w:hAnsi="Times New Roman"/>
          <w:sz w:val="20"/>
          <w:szCs w:val="20"/>
        </w:rPr>
      </w:pPr>
      <w:r>
        <w:rPr>
          <w:rFonts w:ascii="Times New Roman" w:hAnsi="Times New Roman"/>
          <w:sz w:val="20"/>
          <w:szCs w:val="20"/>
        </w:rPr>
        <w:t>Regarding this option, as highlighted by proponent, there is clear benefits for UE battery consumption once the PUCCH carrying HARQ-ACK feedback can be reduced. Moreover, applicability of this Option to the case that feedback is carried by PUSCH is also preferred since no consensus and further discussion are assumed in the related for Rel-15/16 CR. Regarding HW’s concerns on drop the feedback as option-2, especially when UCI multiplexing with others occurs, it has been addressed by restricting the enhancement to the case without UCI multiplexing.</w:t>
      </w:r>
    </w:p>
    <w:p w14:paraId="3324074C" w14:textId="77777777" w:rsidR="00AA4AC8" w:rsidRDefault="0082369C">
      <w:pPr>
        <w:pStyle w:val="afc"/>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Then, from FL’s perspective, since this topic has been discussed in several meetings, the down-selection is recommended and with benefits justified above for both cases, following proposals are made:</w:t>
      </w:r>
    </w:p>
    <w:p w14:paraId="0838BC64" w14:textId="77777777" w:rsidR="00AA4AC8" w:rsidRDefault="0082369C">
      <w:pPr>
        <w:snapToGrid w:val="0"/>
        <w:spacing w:beforeLines="100" w:before="240" w:afterLines="100" w:after="240"/>
        <w:ind w:left="200"/>
      </w:pPr>
      <w:r>
        <w:rPr>
          <w:b/>
          <w:color w:val="000000" w:themeColor="text1"/>
          <w:highlight w:val="yellow"/>
        </w:rPr>
        <w:t>[Initial Proposal 1.1.1-1]:</w:t>
      </w:r>
      <w:r>
        <w:rPr>
          <w:highlight w:val="yellow"/>
        </w:rPr>
        <w:t xml:space="preserve"> For Type-1 HARQ codebook, if DCIs carrying the feedback-disabled and feedback-enabled HARQ processes are detected by UE, the UE will report NACK/ACK for the feedback-disabled HARQ process depending on the decoding results of corresponding PDSCH</w:t>
      </w:r>
    </w:p>
    <w:p w14:paraId="039FEA46" w14:textId="77777777" w:rsidR="00AA4AC8" w:rsidRDefault="0082369C">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140EC72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EB3DC6"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3AD8D33" w14:textId="77777777" w:rsidR="00AA4AC8" w:rsidRDefault="0082369C">
            <w:pPr>
              <w:jc w:val="center"/>
              <w:rPr>
                <w:b/>
                <w:sz w:val="28"/>
              </w:rPr>
            </w:pPr>
            <w:r>
              <w:rPr>
                <w:b/>
                <w:sz w:val="22"/>
              </w:rPr>
              <w:t>Comments and Views</w:t>
            </w:r>
          </w:p>
        </w:tc>
      </w:tr>
      <w:tr w:rsidR="00AA4AC8" w14:paraId="7C185B3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5FBE789" w14:textId="77777777" w:rsidR="00AA4AC8" w:rsidRDefault="0082369C">
            <w:pPr>
              <w:jc w:val="center"/>
              <w:rPr>
                <w:rFonts w:cs="Arial"/>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BEE329B" w14:textId="77777777" w:rsidR="00AA4AC8" w:rsidRDefault="0082369C">
            <w:pPr>
              <w:snapToGrid w:val="0"/>
            </w:pPr>
            <w:r>
              <w:t>Support</w:t>
            </w:r>
          </w:p>
        </w:tc>
      </w:tr>
      <w:tr w:rsidR="00AA4AC8" w14:paraId="2278FAC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70575F" w14:textId="77777777" w:rsidR="00AA4AC8" w:rsidRDefault="0082369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69D4C43B" w14:textId="77777777" w:rsidR="00AA4AC8" w:rsidRDefault="0082369C">
            <w:pPr>
              <w:snapToGrid w:val="0"/>
            </w:pPr>
            <w:r>
              <w:t xml:space="preserve">Not supportive. </w:t>
            </w:r>
          </w:p>
        </w:tc>
      </w:tr>
      <w:tr w:rsidR="00AA4AC8" w14:paraId="68E8502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397AFD" w14:textId="77777777" w:rsidR="00AA4AC8" w:rsidRDefault="0082369C">
            <w:pPr>
              <w:jc w:val="center"/>
              <w:rPr>
                <w:rFonts w:eastAsiaTheme="minorEastAsia" w:cs="Arial"/>
              </w:rPr>
            </w:pPr>
            <w:r>
              <w:rPr>
                <w:rFonts w:eastAsiaTheme="minorEastAsia" w:cs="Arial"/>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62FF575" w14:textId="77777777" w:rsidR="00AA4AC8" w:rsidRDefault="0082369C">
            <w:pPr>
              <w:snapToGrid w:val="0"/>
            </w:pPr>
            <w:r>
              <w:t>Agree but it should be a conclusion.</w:t>
            </w:r>
          </w:p>
        </w:tc>
      </w:tr>
      <w:tr w:rsidR="00AA4AC8" w14:paraId="258BB86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5819C0" w14:textId="77777777" w:rsidR="00AA4AC8" w:rsidRDefault="0082369C">
            <w:pPr>
              <w:jc w:val="center"/>
              <w:rPr>
                <w:rFonts w:eastAsiaTheme="minorEastAsia" w:cs="Arial"/>
              </w:rPr>
            </w:pPr>
            <w:r>
              <w:rPr>
                <w:rFonts w:eastAsiaTheme="minorEastAsia"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55E0A0F5" w14:textId="77777777" w:rsidR="00AA4AC8" w:rsidRDefault="0082369C">
            <w:pPr>
              <w:snapToGrid w:val="0"/>
              <w:rPr>
                <w:rFonts w:eastAsia="MS Mincho"/>
                <w:lang w:eastAsia="ja-JP"/>
              </w:rPr>
            </w:pPr>
            <w:r>
              <w:rPr>
                <w:rFonts w:eastAsia="MS Mincho" w:hint="eastAsia"/>
                <w:lang w:eastAsia="ja-JP"/>
              </w:rPr>
              <w:t>S</w:t>
            </w:r>
            <w:r>
              <w:rPr>
                <w:rFonts w:eastAsia="MS Mincho"/>
                <w:lang w:eastAsia="ja-JP"/>
              </w:rPr>
              <w:t>upport</w:t>
            </w:r>
          </w:p>
        </w:tc>
      </w:tr>
      <w:tr w:rsidR="00AA4AC8" w14:paraId="633414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2E7313" w14:textId="77777777" w:rsidR="00AA4AC8" w:rsidRDefault="0082369C">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D01A56D" w14:textId="77777777" w:rsidR="00AA4AC8" w:rsidRDefault="0082369C">
            <w:pPr>
              <w:snapToGrid w:val="0"/>
              <w:rPr>
                <w:rFonts w:eastAsia="MS Mincho"/>
                <w:lang w:eastAsia="ja-JP"/>
              </w:rPr>
            </w:pPr>
            <w:r>
              <w:t xml:space="preserve">Disagree. We think the decoding performance will be largely increased if UE sends NACK for feedback-disabled HARQ processes. </w:t>
            </w:r>
          </w:p>
        </w:tc>
      </w:tr>
      <w:tr w:rsidR="00AA4AC8" w14:paraId="6C273D5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014F0D"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D42864F" w14:textId="77777777" w:rsidR="00AA4AC8" w:rsidRDefault="0082369C">
            <w:pPr>
              <w:snapToGrid w:val="0"/>
              <w:rPr>
                <w:rFonts w:eastAsiaTheme="minorEastAsia"/>
              </w:rPr>
            </w:pPr>
            <w:r>
              <w:rPr>
                <w:rFonts w:eastAsiaTheme="minorEastAsia"/>
              </w:rPr>
              <w:t>We prefer to send the NACK only, but if no consensus, the legacy behavior will be the default.</w:t>
            </w:r>
          </w:p>
        </w:tc>
      </w:tr>
      <w:tr w:rsidR="00AA4AC8" w14:paraId="637FFA5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693F19" w14:textId="77777777" w:rsidR="00AA4AC8" w:rsidRDefault="0082369C">
            <w:pPr>
              <w:jc w:val="center"/>
              <w:rPr>
                <w:rFonts w:eastAsiaTheme="minorEastAsia" w:cs="Arial"/>
              </w:rPr>
            </w:pPr>
            <w:r>
              <w:rPr>
                <w:rFonts w:eastAsiaTheme="minorEastAsia" w:cs="Arial" w:hint="eastAsia"/>
              </w:rPr>
              <w:t>CMCC</w:t>
            </w:r>
          </w:p>
        </w:tc>
        <w:tc>
          <w:tcPr>
            <w:tcW w:w="6840" w:type="dxa"/>
            <w:tcBorders>
              <w:top w:val="single" w:sz="4" w:space="0" w:color="auto"/>
              <w:left w:val="single" w:sz="4" w:space="0" w:color="auto"/>
              <w:bottom w:val="single" w:sz="4" w:space="0" w:color="auto"/>
              <w:right w:val="single" w:sz="4" w:space="0" w:color="auto"/>
            </w:tcBorders>
            <w:vAlign w:val="center"/>
          </w:tcPr>
          <w:p w14:paraId="38A66BBD"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10E1A0C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B3BCCA"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D5E5B69" w14:textId="77777777" w:rsidR="00AA4AC8" w:rsidRDefault="0082369C">
            <w:pPr>
              <w:snapToGrid w:val="0"/>
              <w:rPr>
                <w:rFonts w:eastAsiaTheme="minorEastAsia"/>
              </w:rPr>
            </w:pPr>
            <w:r>
              <w:rPr>
                <w:rFonts w:eastAsiaTheme="minorEastAsia"/>
              </w:rPr>
              <w:t xml:space="preserve">Do not support. </w:t>
            </w:r>
          </w:p>
          <w:p w14:paraId="57E5B6AA" w14:textId="77777777" w:rsidR="00AA4AC8" w:rsidRDefault="0082369C">
            <w:pPr>
              <w:snapToGrid w:val="0"/>
              <w:spacing w:after="0"/>
              <w:rPr>
                <w:rFonts w:eastAsiaTheme="minorEastAsia"/>
              </w:rPr>
            </w:pPr>
            <w:r>
              <w:rPr>
                <w:rFonts w:eastAsiaTheme="minorEastAsia"/>
              </w:rPr>
              <w:t xml:space="preserve">There is no reason to configure HARQ processes with disabled HARQ-ACK in such case. There is also no benefit to the HARQ buffer. </w:t>
            </w:r>
          </w:p>
          <w:p w14:paraId="229D8AC6" w14:textId="77777777" w:rsidR="00AA4AC8" w:rsidRDefault="0082369C">
            <w:pPr>
              <w:snapToGrid w:val="0"/>
              <w:rPr>
                <w:rFonts w:eastAsiaTheme="minorEastAsia"/>
              </w:rPr>
            </w:pPr>
            <w:r>
              <w:rPr>
                <w:rFonts w:eastAsiaTheme="minorEastAsia"/>
              </w:rPr>
              <w:t>If no consensus, the default is that UE behavior is undefined - there is no legacy behavior for HARQ-ACK for a HARQ process with disabled HARQ-ACK.</w:t>
            </w:r>
          </w:p>
        </w:tc>
      </w:tr>
      <w:tr w:rsidR="00AA4AC8" w14:paraId="464D479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E2AE44"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25443FB8" w14:textId="77777777" w:rsidR="00AA4AC8" w:rsidRDefault="0082369C">
            <w:pPr>
              <w:snapToGrid w:val="0"/>
              <w:rPr>
                <w:rFonts w:eastAsiaTheme="minorEastAsia"/>
              </w:rPr>
            </w:pPr>
            <w:r>
              <w:rPr>
                <w:rFonts w:eastAsiaTheme="minorEastAsia"/>
              </w:rPr>
              <w:t>Support</w:t>
            </w:r>
          </w:p>
        </w:tc>
      </w:tr>
      <w:tr w:rsidR="00AA4AC8" w14:paraId="18FBAC1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C04C37" w14:textId="77777777" w:rsidR="00AA4AC8" w:rsidRDefault="0082369C">
            <w:pPr>
              <w:jc w:val="center"/>
              <w:rPr>
                <w:rFonts w:eastAsiaTheme="minorEastAsia" w:cs="Arial"/>
              </w:rPr>
            </w:pPr>
            <w:r>
              <w:rPr>
                <w:rFonts w:eastAsiaTheme="minorEastAsia" w:cs="Arial" w:hint="eastAsia"/>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7538A415" w14:textId="77777777" w:rsidR="00AA4AC8" w:rsidRDefault="0082369C">
            <w:pPr>
              <w:snapToGrid w:val="0"/>
              <w:rPr>
                <w:rFonts w:eastAsiaTheme="minorEastAsia"/>
              </w:rPr>
            </w:pPr>
            <w:r>
              <w:rPr>
                <w:rFonts w:eastAsiaTheme="minorEastAsia" w:hint="eastAsia"/>
              </w:rPr>
              <w:t>Do</w:t>
            </w:r>
            <w:r>
              <w:rPr>
                <w:rFonts w:eastAsiaTheme="minorEastAsia"/>
              </w:rPr>
              <w:t xml:space="preserve"> not support. </w:t>
            </w:r>
          </w:p>
        </w:tc>
      </w:tr>
      <w:tr w:rsidR="00AA4AC8" w14:paraId="4747EFA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06E9B9"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641041F" w14:textId="77777777" w:rsidR="00AA4AC8" w:rsidRDefault="0082369C">
            <w:pPr>
              <w:snapToGrid w:val="0"/>
              <w:rPr>
                <w:rFonts w:eastAsiaTheme="minorEastAsia"/>
              </w:rPr>
            </w:pPr>
            <w:r>
              <w:rPr>
                <w:rFonts w:eastAsiaTheme="minorEastAsia"/>
              </w:rPr>
              <w:t>Do not support with only counting companies who submitted a proposal for this meeting. Isn’t it better to put together a table that counts everyone’s opinion – if there is one.</w:t>
            </w:r>
          </w:p>
        </w:tc>
      </w:tr>
      <w:tr w:rsidR="00AA4AC8" w14:paraId="6F38E1C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C1C411" w14:textId="77777777" w:rsidR="00AA4AC8" w:rsidRDefault="0082369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D8B9750" w14:textId="77777777" w:rsidR="00AA4AC8" w:rsidRDefault="0082369C">
            <w:pPr>
              <w:snapToGrid w:val="0"/>
              <w:rPr>
                <w:rFonts w:eastAsiaTheme="minorEastAsia"/>
              </w:rPr>
            </w:pPr>
            <w:r>
              <w:rPr>
                <w:rFonts w:eastAsia="MS Mincho" w:hint="eastAsia"/>
                <w:lang w:eastAsia="ja-JP"/>
              </w:rPr>
              <w:t>W</w:t>
            </w:r>
            <w:r>
              <w:rPr>
                <w:rFonts w:eastAsia="MS Mincho"/>
                <w:lang w:eastAsia="ja-JP"/>
              </w:rPr>
              <w:t xml:space="preserve">e think to report only NACK is better. As mentioned in option 1, </w:t>
            </w:r>
            <w:r>
              <w:t>pre-known NACKs could improve the decoder performance.</w:t>
            </w:r>
          </w:p>
        </w:tc>
      </w:tr>
      <w:tr w:rsidR="00AA4AC8" w14:paraId="6D7067E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3A8A19"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4D0D633" w14:textId="77777777" w:rsidR="00AA4AC8" w:rsidRDefault="0082369C">
            <w:pPr>
              <w:snapToGrid w:val="0"/>
              <w:rPr>
                <w:rFonts w:eastAsiaTheme="minorEastAsia"/>
              </w:rPr>
            </w:pPr>
            <w:r>
              <w:rPr>
                <w:rFonts w:eastAsiaTheme="minorEastAsia"/>
              </w:rPr>
              <w:t>Not support.</w:t>
            </w:r>
          </w:p>
          <w:p w14:paraId="5AB61268" w14:textId="77777777" w:rsidR="00AA4AC8" w:rsidRDefault="0082369C">
            <w:pPr>
              <w:snapToGrid w:val="0"/>
              <w:rPr>
                <w:rFonts w:eastAsiaTheme="minorEastAsia"/>
              </w:rPr>
            </w:pPr>
            <w:r>
              <w:rPr>
                <w:rFonts w:eastAsiaTheme="minorEastAsia"/>
              </w:rPr>
              <w:t>As commented repeatedly, the following two mechanisms are contradictory.</w:t>
            </w:r>
          </w:p>
          <w:p w14:paraId="15ECFC3F" w14:textId="77777777" w:rsidR="00AA4AC8" w:rsidRDefault="0082369C">
            <w:pPr>
              <w:pStyle w:val="afc"/>
              <w:numPr>
                <w:ilvl w:val="0"/>
                <w:numId w:val="16"/>
              </w:numPr>
              <w:snapToGrid w:val="0"/>
              <w:rPr>
                <w:rFonts w:ascii="Times New Roman" w:eastAsiaTheme="minorEastAsia" w:hAnsi="Times New Roman"/>
              </w:rPr>
            </w:pPr>
            <w:r>
              <w:rPr>
                <w:rFonts w:ascii="Times New Roman" w:eastAsiaTheme="minorEastAsia" w:hAnsi="Times New Roman"/>
                <w:sz w:val="20"/>
              </w:rPr>
              <w:t>Restriction specified in 38.214: ... The UE is not expected to receive another PDSCH for a given HARQ process until after the end of the expected transmission of HARQ-ACK for that HARQ process, where the timing is given by Clause 9.2.3 of [6]. ...</w:t>
            </w:r>
          </w:p>
          <w:p w14:paraId="3F95B5E8" w14:textId="77777777" w:rsidR="00AA4AC8" w:rsidRDefault="0082369C">
            <w:pPr>
              <w:pStyle w:val="afc"/>
              <w:numPr>
                <w:ilvl w:val="0"/>
                <w:numId w:val="16"/>
              </w:numPr>
              <w:snapToGrid w:val="0"/>
              <w:rPr>
                <w:rFonts w:ascii="Times New Roman" w:eastAsiaTheme="minorEastAsia" w:hAnsi="Times New Roman"/>
              </w:rPr>
            </w:pPr>
            <w:r>
              <w:rPr>
                <w:rFonts w:ascii="Times New Roman" w:eastAsiaTheme="minorEastAsia" w:hAnsi="Times New Roman"/>
                <w:sz w:val="20"/>
              </w:rPr>
              <w:t>Agreed processing time constraints: 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tc>
      </w:tr>
      <w:tr w:rsidR="00AA4AC8" w14:paraId="201FD6C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4E4ACE"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298847F"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0F4D2BB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804813"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459ACF6" w14:textId="77777777" w:rsidR="00AA4AC8" w:rsidRDefault="0082369C">
            <w:pPr>
              <w:snapToGrid w:val="0"/>
              <w:rPr>
                <w:rFonts w:eastAsiaTheme="minorEastAsia"/>
              </w:rPr>
            </w:pPr>
            <w:r>
              <w:rPr>
                <w:rFonts w:eastAsiaTheme="minorEastAsia"/>
              </w:rPr>
              <w:t>Support</w:t>
            </w:r>
          </w:p>
        </w:tc>
      </w:tr>
      <w:tr w:rsidR="00AA4AC8" w14:paraId="41A598A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92E253"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040151A3" w14:textId="77777777" w:rsidR="00AA4AC8" w:rsidRDefault="0082369C">
            <w:pPr>
              <w:snapToGrid w:val="0"/>
              <w:rPr>
                <w:rFonts w:eastAsiaTheme="minorEastAsia"/>
              </w:rPr>
            </w:pPr>
            <w:r>
              <w:rPr>
                <w:rFonts w:eastAsiaTheme="minorEastAsia"/>
              </w:rPr>
              <w:t>Support</w:t>
            </w:r>
          </w:p>
        </w:tc>
      </w:tr>
      <w:tr w:rsidR="00AA4AC8" w14:paraId="6B8405A9" w14:textId="77777777">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14:paraId="08DD3E18" w14:textId="77777777" w:rsidR="00AA4AC8" w:rsidRDefault="0082369C">
            <w:pPr>
              <w:jc w:val="center"/>
              <w:rPr>
                <w:rFonts w:eastAsiaTheme="minorEastAsia"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AA3DDE3" w14:textId="77777777" w:rsidR="00AA4AC8" w:rsidRDefault="0082369C">
            <w:pPr>
              <w:snapToGrid w:val="0"/>
              <w:rPr>
                <w:rFonts w:eastAsiaTheme="minorEastAsia"/>
              </w:rPr>
            </w:pPr>
            <w:r>
              <w:t>Support</w:t>
            </w:r>
          </w:p>
        </w:tc>
      </w:tr>
    </w:tbl>
    <w:p w14:paraId="42DA0713" w14:textId="77777777" w:rsidR="00AA4AC8" w:rsidRDefault="0082369C">
      <w:pPr>
        <w:snapToGrid w:val="0"/>
        <w:spacing w:beforeLines="50" w:before="120" w:after="0"/>
        <w:ind w:left="198"/>
        <w:rPr>
          <w:highlight w:val="yellow"/>
        </w:rPr>
      </w:pPr>
      <w:r>
        <w:rPr>
          <w:b/>
          <w:color w:val="000000" w:themeColor="text1"/>
          <w:highlight w:val="yellow"/>
        </w:rPr>
        <w:t>[Initial Proposal 1.1.1-2]:</w:t>
      </w:r>
      <w:r>
        <w:rPr>
          <w:highlight w:val="yellow"/>
        </w:rPr>
        <w:t xml:space="preserve"> For Type-1 HARQ codebook, if only DCI carrying feedback-disabled HARQ process is detected by UE, </w:t>
      </w:r>
      <w:r>
        <w:rPr>
          <w:shd w:val="clear" w:color="auto" w:fill="FFFF00"/>
        </w:rPr>
        <w:t>the UE should skip the HARQ codebook feedback when it is not multiplexed with other feedback in the same UCI</w:t>
      </w:r>
      <w:r>
        <w:rPr>
          <w:highlight w:val="yellow"/>
        </w:rPr>
        <w:t xml:space="preserve">. </w:t>
      </w:r>
    </w:p>
    <w:p w14:paraId="414E4649" w14:textId="77777777" w:rsidR="00AA4AC8" w:rsidRDefault="0082369C">
      <w:pPr>
        <w:snapToGrid w:val="0"/>
        <w:spacing w:beforeLines="50" w:before="120" w:afterLines="50" w:after="120"/>
        <w:ind w:left="424" w:firstLine="136"/>
        <w:rPr>
          <w:i/>
          <w:highlight w:val="yellow"/>
        </w:rPr>
      </w:pPr>
      <w:r>
        <w:rPr>
          <w:iCs/>
        </w:rPr>
        <w:lastRenderedPageBreak/>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0086978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EB24F3"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41F57497" w14:textId="77777777" w:rsidR="00AA4AC8" w:rsidRDefault="0082369C">
            <w:pPr>
              <w:jc w:val="center"/>
              <w:rPr>
                <w:b/>
                <w:sz w:val="28"/>
              </w:rPr>
            </w:pPr>
            <w:r>
              <w:rPr>
                <w:b/>
                <w:sz w:val="22"/>
              </w:rPr>
              <w:t>Comments and Views</w:t>
            </w:r>
          </w:p>
        </w:tc>
      </w:tr>
      <w:tr w:rsidR="00AA4AC8" w14:paraId="1CBC84C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6EF0C0"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916DB22" w14:textId="77777777" w:rsidR="00AA4AC8" w:rsidRDefault="0082369C">
            <w:pPr>
              <w:snapToGrid w:val="0"/>
            </w:pPr>
            <w:r>
              <w:t>Conditional support for this proposal. In our view it is also important to distinguish the potential multiplexing with PUSCH. In our view, the only benefit from dropping the codebook would be seen as power saving since the UE can omit the UL transmission entirely for this case. So, to highlight:</w:t>
            </w:r>
          </w:p>
          <w:p w14:paraId="6CE15D13" w14:textId="77777777" w:rsidR="00AA4AC8" w:rsidRDefault="0082369C">
            <w:pPr>
              <w:snapToGrid w:val="0"/>
            </w:pPr>
            <w:r>
              <w:t>If Initial proposal 1.1.1-2 is targeted UCI on PUCCH, we can support.</w:t>
            </w:r>
          </w:p>
        </w:tc>
      </w:tr>
      <w:tr w:rsidR="00AA4AC8" w14:paraId="1B33FED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3FCA0D" w14:textId="77777777" w:rsidR="00AA4AC8" w:rsidRDefault="0082369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353707D3" w14:textId="77777777" w:rsidR="00AA4AC8" w:rsidRDefault="0082369C">
            <w:pPr>
              <w:snapToGrid w:val="0"/>
            </w:pPr>
            <w:r>
              <w:t xml:space="preserve">Support. </w:t>
            </w:r>
          </w:p>
        </w:tc>
      </w:tr>
      <w:tr w:rsidR="00AA4AC8" w14:paraId="5CBCE9A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C49277"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7433AB94" w14:textId="77777777" w:rsidR="00AA4AC8" w:rsidRDefault="0082369C">
            <w:pPr>
              <w:snapToGrid w:val="0"/>
            </w:pPr>
            <w:r>
              <w:t>There is a risk that the UE may mis-detect a DCI carrying feedback enabled HARQ process. We suggest the following modification:</w:t>
            </w:r>
          </w:p>
          <w:p w14:paraId="7D4A507C" w14:textId="77777777" w:rsidR="00AA4AC8" w:rsidRDefault="0082369C">
            <w:pPr>
              <w:snapToGrid w:val="0"/>
              <w:spacing w:beforeLines="50" w:before="120" w:after="0"/>
              <w:ind w:left="198"/>
              <w:rPr>
                <w:highlight w:val="yellow"/>
              </w:rPr>
            </w:pPr>
            <w:r>
              <w:rPr>
                <w:b/>
                <w:color w:val="000000" w:themeColor="text1"/>
                <w:highlight w:val="yellow"/>
              </w:rPr>
              <w:t>[Initial Proposal 1.1.1-2]:</w:t>
            </w:r>
            <w:r>
              <w:rPr>
                <w:highlight w:val="yellow"/>
              </w:rPr>
              <w:t xml:space="preserve"> For Type-1 HARQ codebook, if only DCI </w:t>
            </w:r>
            <w:r>
              <w:rPr>
                <w:color w:val="FF0000"/>
                <w:highlight w:val="yellow"/>
              </w:rPr>
              <w:t>1_1</w:t>
            </w:r>
            <w:r>
              <w:rPr>
                <w:highlight w:val="yellow"/>
              </w:rPr>
              <w:t xml:space="preserve"> carrying feedback-disabled HARQ process is detected by UE, </w:t>
            </w:r>
            <w:r>
              <w:rPr>
                <w:shd w:val="clear" w:color="auto" w:fill="FFFF00"/>
              </w:rPr>
              <w:t>the UE should skip the HARQ codebook feedback when it is not multiplexed with other feedback in the same UCI</w:t>
            </w:r>
            <w:r>
              <w:rPr>
                <w:highlight w:val="yellow"/>
              </w:rPr>
              <w:t xml:space="preserve">. </w:t>
            </w:r>
          </w:p>
          <w:p w14:paraId="26FEB1D7" w14:textId="77777777" w:rsidR="00AA4AC8" w:rsidRDefault="0082369C">
            <w:pPr>
              <w:snapToGrid w:val="0"/>
              <w:spacing w:beforeLines="50" w:before="120" w:after="0"/>
              <w:ind w:left="198"/>
              <w:rPr>
                <w:color w:val="FF0000"/>
                <w:highlight w:val="yellow"/>
              </w:rPr>
            </w:pPr>
            <w:r>
              <w:rPr>
                <w:b/>
                <w:color w:val="FF0000"/>
                <w:highlight w:val="yellow"/>
              </w:rPr>
              <w:t>FFS:</w:t>
            </w:r>
            <w:r>
              <w:rPr>
                <w:color w:val="FF0000"/>
                <w:highlight w:val="yellow"/>
              </w:rPr>
              <w:t xml:space="preserve"> case when DCI 1_0 is detected </w:t>
            </w:r>
          </w:p>
          <w:p w14:paraId="13F94446" w14:textId="77777777" w:rsidR="00AA4AC8" w:rsidRDefault="00AA4AC8">
            <w:pPr>
              <w:snapToGrid w:val="0"/>
            </w:pPr>
          </w:p>
        </w:tc>
      </w:tr>
      <w:tr w:rsidR="00AA4AC8" w14:paraId="13B2B0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5B81CE"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0F8F9E25" w14:textId="77777777" w:rsidR="00AA4AC8" w:rsidRDefault="0082369C">
            <w:pPr>
              <w:snapToGrid w:val="0"/>
            </w:pPr>
            <w:r>
              <w:rPr>
                <w:rFonts w:eastAsia="MS Mincho"/>
              </w:rPr>
              <w:t>Although we prefer the same behavior regardless of detected DCI (only feedback disabled or not) and multiplexing content of UCI for simplicity and reliability, we can support the proposal for the sake of progress.</w:t>
            </w:r>
          </w:p>
        </w:tc>
      </w:tr>
      <w:tr w:rsidR="00AA4AC8" w14:paraId="4AE52CA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39885A" w14:textId="77777777" w:rsidR="00AA4AC8" w:rsidRDefault="0082369C">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3F30B6E4" w14:textId="77777777" w:rsidR="00AA4AC8" w:rsidRDefault="0082369C">
            <w:pPr>
              <w:snapToGrid w:val="0"/>
            </w:pPr>
            <w:r>
              <w:t xml:space="preserve">We still do not think the optimization is needed for this corner case. This assumes that HARQ-ACK codebook (with feedback disabled HARQ processes) is not multiplexed with other feedback (CSI, SR) and only in PUCCH. </w:t>
            </w:r>
          </w:p>
        </w:tc>
      </w:tr>
      <w:tr w:rsidR="00AA4AC8" w14:paraId="1D532B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EE1A97"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D7F0798" w14:textId="77777777" w:rsidR="00AA4AC8" w:rsidRDefault="0082369C">
            <w:pPr>
              <w:snapToGrid w:val="0"/>
              <w:rPr>
                <w:rFonts w:eastAsiaTheme="minorEastAsia"/>
              </w:rPr>
            </w:pPr>
            <w:r>
              <w:rPr>
                <w:rFonts w:eastAsiaTheme="minorEastAsia" w:hint="eastAsia"/>
              </w:rPr>
              <w:t>W</w:t>
            </w:r>
            <w:r>
              <w:rPr>
                <w:rFonts w:eastAsiaTheme="minorEastAsia"/>
              </w:rPr>
              <w:t>e prefer to introduce the additional enhancement to improve the UL transmission. For this case, keeping the legacy behavior is not reasonable.</w:t>
            </w:r>
          </w:p>
        </w:tc>
      </w:tr>
      <w:tr w:rsidR="00AA4AC8" w14:paraId="60FD2F7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C84D62"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14D63DF"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7E60056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13A134"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81C3D14" w14:textId="77777777" w:rsidR="00AA4AC8" w:rsidRDefault="0082369C">
            <w:pPr>
              <w:snapToGrid w:val="0"/>
              <w:rPr>
                <w:rFonts w:eastAsiaTheme="minorEastAsia"/>
              </w:rPr>
            </w:pPr>
            <w:r>
              <w:rPr>
                <w:rFonts w:eastAsiaTheme="minorEastAsia"/>
              </w:rPr>
              <w:t xml:space="preserve">The proposal is inconsistent in principle with the previous one. </w:t>
            </w:r>
          </w:p>
        </w:tc>
      </w:tr>
      <w:tr w:rsidR="00AA4AC8" w14:paraId="46A0BBE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BC11CA" w14:textId="77777777" w:rsidR="00AA4AC8" w:rsidRDefault="0082369C">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7E035669" w14:textId="77777777" w:rsidR="00AA4AC8" w:rsidRDefault="0082369C">
            <w:pPr>
              <w:snapToGrid w:val="0"/>
              <w:rPr>
                <w:rFonts w:eastAsiaTheme="minorEastAsia"/>
              </w:rPr>
            </w:pPr>
            <w:r>
              <w:rPr>
                <w:rFonts w:eastAsiaTheme="minorEastAsia"/>
              </w:rPr>
              <w:t xml:space="preserve">Do not support. </w:t>
            </w:r>
          </w:p>
          <w:p w14:paraId="6116E6CA" w14:textId="77777777" w:rsidR="00AA4AC8" w:rsidRDefault="0082369C">
            <w:pPr>
              <w:snapToGrid w:val="0"/>
              <w:rPr>
                <w:rFonts w:eastAsiaTheme="minorEastAsia"/>
              </w:rPr>
            </w:pPr>
            <w:r>
              <w:rPr>
                <w:rFonts w:eastAsiaTheme="minorEastAsia"/>
              </w:rPr>
              <w:t>We prefer a unified solution for Type-1 HARQ codebook without considering special cases.</w:t>
            </w:r>
          </w:p>
        </w:tc>
      </w:tr>
      <w:tr w:rsidR="00AA4AC8" w14:paraId="370D8D7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559C09"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324FB633" w14:textId="77777777" w:rsidR="00AA4AC8" w:rsidRDefault="0082369C">
            <w:pPr>
              <w:snapToGrid w:val="0"/>
              <w:rPr>
                <w:rFonts w:eastAsiaTheme="minorEastAsia"/>
              </w:rPr>
            </w:pPr>
            <w:r>
              <w:rPr>
                <w:rFonts w:eastAsiaTheme="minorEastAsia"/>
              </w:rPr>
              <w:t>Do not support with only counting companies who submitted a proposal for this meeting. Isn’t it better to put together a table that counts everyone’s opinion – if there is one.</w:t>
            </w:r>
          </w:p>
        </w:tc>
      </w:tr>
      <w:tr w:rsidR="00AA4AC8" w14:paraId="44C2611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F88D8F" w14:textId="77777777" w:rsidR="00AA4AC8" w:rsidRDefault="0082369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35B686F" w14:textId="77777777" w:rsidR="00AA4AC8" w:rsidRDefault="0082369C">
            <w:pPr>
              <w:snapToGrid w:val="0"/>
              <w:rPr>
                <w:rFonts w:eastAsiaTheme="minorEastAsia"/>
              </w:rPr>
            </w:pPr>
            <w:r>
              <w:rPr>
                <w:rFonts w:eastAsia="MS Mincho" w:hint="eastAsia"/>
                <w:lang w:eastAsia="ja-JP"/>
              </w:rPr>
              <w:t>S</w:t>
            </w:r>
            <w:r>
              <w:rPr>
                <w:rFonts w:eastAsia="MS Mincho"/>
                <w:lang w:eastAsia="ja-JP"/>
              </w:rPr>
              <w:t>upport the proposal.</w:t>
            </w:r>
          </w:p>
        </w:tc>
      </w:tr>
      <w:tr w:rsidR="00AA4AC8" w14:paraId="12E84E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135F02"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230BDA6" w14:textId="77777777" w:rsidR="00AA4AC8" w:rsidRDefault="0082369C">
            <w:pPr>
              <w:snapToGrid w:val="0"/>
              <w:rPr>
                <w:rFonts w:eastAsiaTheme="minorEastAsia"/>
              </w:rPr>
            </w:pPr>
            <w:r>
              <w:rPr>
                <w:rFonts w:eastAsiaTheme="minorEastAsia"/>
              </w:rPr>
              <w:t>Support</w:t>
            </w:r>
          </w:p>
        </w:tc>
      </w:tr>
      <w:tr w:rsidR="00AA4AC8" w14:paraId="3495DC3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227749"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64733AA" w14:textId="77777777" w:rsidR="00AA4AC8" w:rsidRDefault="0082369C">
            <w:pPr>
              <w:snapToGrid w:val="0"/>
              <w:rPr>
                <w:rFonts w:eastAsia="MS Mincho"/>
                <w:lang w:eastAsia="ja-JP"/>
              </w:rPr>
            </w:pPr>
            <w:r>
              <w:rPr>
                <w:rFonts w:eastAsiaTheme="minorEastAsia" w:hint="eastAsia"/>
              </w:rPr>
              <w:t>S</w:t>
            </w:r>
            <w:r>
              <w:rPr>
                <w:rFonts w:eastAsiaTheme="minorEastAsia"/>
              </w:rPr>
              <w:t>upport</w:t>
            </w:r>
          </w:p>
        </w:tc>
      </w:tr>
      <w:tr w:rsidR="00AA4AC8" w14:paraId="108BED2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2F2E68"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1143D99" w14:textId="77777777" w:rsidR="00AA4AC8" w:rsidRDefault="0082369C">
            <w:pPr>
              <w:snapToGrid w:val="0"/>
              <w:rPr>
                <w:rFonts w:eastAsiaTheme="minorEastAsia"/>
              </w:rPr>
            </w:pPr>
            <w:r>
              <w:rPr>
                <w:rFonts w:eastAsiaTheme="minorEastAsia"/>
              </w:rPr>
              <w:t>Support</w:t>
            </w:r>
          </w:p>
        </w:tc>
      </w:tr>
      <w:tr w:rsidR="00AA4AC8" w14:paraId="24A384C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314B698"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2CADDA7C" w14:textId="77777777" w:rsidR="00AA4AC8" w:rsidRDefault="0082369C">
            <w:pPr>
              <w:snapToGrid w:val="0"/>
              <w:rPr>
                <w:rFonts w:eastAsiaTheme="minorEastAsia"/>
              </w:rPr>
            </w:pPr>
            <w:r>
              <w:rPr>
                <w:rFonts w:eastAsiaTheme="minorEastAsia"/>
              </w:rPr>
              <w:t>Support</w:t>
            </w:r>
          </w:p>
        </w:tc>
      </w:tr>
      <w:tr w:rsidR="00AA4AC8" w14:paraId="4D603BF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2A06A3" w14:textId="77777777" w:rsidR="00AA4AC8" w:rsidRDefault="0082369C">
            <w:pPr>
              <w:jc w:val="center"/>
              <w:rPr>
                <w:rFonts w:eastAsiaTheme="minorEastAsia"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74D591B" w14:textId="77777777" w:rsidR="00AA4AC8" w:rsidRDefault="0082369C">
            <w:pPr>
              <w:snapToGrid w:val="0"/>
              <w:rPr>
                <w:rFonts w:eastAsiaTheme="minorEastAsia"/>
              </w:rPr>
            </w:pPr>
            <w:r>
              <w:t>Support</w:t>
            </w:r>
          </w:p>
        </w:tc>
      </w:tr>
    </w:tbl>
    <w:p w14:paraId="7FEA81A5"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lastRenderedPageBreak/>
        <w:t>Updated based on the email discussion (Round-2)</w:t>
      </w:r>
    </w:p>
    <w:p w14:paraId="627C993D" w14:textId="77777777" w:rsidR="00AA4AC8" w:rsidRDefault="0082369C">
      <w:pPr>
        <w:snapToGrid w:val="0"/>
        <w:spacing w:beforeLines="50" w:before="120" w:afterLines="50" w:after="120"/>
        <w:ind w:left="288"/>
        <w:rPr>
          <w:rFonts w:eastAsiaTheme="minorEastAsia"/>
        </w:rPr>
      </w:pPr>
      <w:r>
        <w:rPr>
          <w:rFonts w:eastAsiaTheme="minorEastAsia" w:hint="eastAsia"/>
        </w:rPr>
        <w:t>R</w:t>
      </w:r>
      <w:r>
        <w:rPr>
          <w:rFonts w:eastAsiaTheme="minorEastAsia"/>
        </w:rPr>
        <w:t>egarding the</w:t>
      </w:r>
      <w:r>
        <w:rPr>
          <w:rFonts w:eastAsiaTheme="minorEastAsia"/>
          <w:b/>
        </w:rPr>
        <w:t xml:space="preserve"> [Initial Proposal 1.1.1-1]</w:t>
      </w:r>
      <w:r>
        <w:rPr>
          <w:rFonts w:eastAsiaTheme="minorEastAsia"/>
        </w:rPr>
        <w:t xml:space="preserve"> and </w:t>
      </w:r>
      <w:r>
        <w:rPr>
          <w:rFonts w:eastAsiaTheme="minorEastAsia"/>
          <w:b/>
        </w:rPr>
        <w:t>[Initial Proposal 1.1.1-2],</w:t>
      </w:r>
      <w:r>
        <w:rPr>
          <w:rFonts w:eastAsiaTheme="minorEastAsia"/>
        </w:rPr>
        <w:t xml:space="preserve"> it seems that there is slight majority to support these two proposal but the views are still diverse. Moreover, as commented by [Samsung], the decision on the 2</w:t>
      </w:r>
      <w:r>
        <w:rPr>
          <w:rFonts w:eastAsiaTheme="minorEastAsia"/>
          <w:vertAlign w:val="superscript"/>
        </w:rPr>
        <w:t>nd</w:t>
      </w:r>
      <w:r>
        <w:rPr>
          <w:rFonts w:eastAsiaTheme="minorEastAsia"/>
        </w:rPr>
        <w:t xml:space="preserve"> proposal may be coupled with the 1</w:t>
      </w:r>
      <w:r>
        <w:rPr>
          <w:rFonts w:eastAsiaTheme="minorEastAsia"/>
          <w:vertAlign w:val="superscript"/>
        </w:rPr>
        <w:t>st</w:t>
      </w:r>
      <w:r>
        <w:rPr>
          <w:rFonts w:eastAsiaTheme="minorEastAsia"/>
        </w:rPr>
        <w:t xml:space="preserve"> one, then for Type-1 codebook, I'd like to further check the views from companies on following proposal. For both Option-1 and 2, a unified solution will be considered regardless of whether feedback-enabled HARQ process will be decoded at UE side.</w:t>
      </w:r>
    </w:p>
    <w:p w14:paraId="610FB491" w14:textId="77777777" w:rsidR="00AA4AC8" w:rsidRDefault="0082369C">
      <w:pPr>
        <w:snapToGrid w:val="0"/>
        <w:spacing w:beforeLines="50" w:before="120" w:afterLines="50" w:after="120"/>
        <w:ind w:left="288"/>
        <w:rPr>
          <w:sz w:val="21"/>
          <w:highlight w:val="yellow"/>
        </w:rPr>
      </w:pPr>
      <w:r>
        <w:rPr>
          <w:rFonts w:hint="eastAsia"/>
          <w:b/>
          <w:color w:val="000000" w:themeColor="text1"/>
          <w:sz w:val="21"/>
          <w:highlight w:val="yellow"/>
        </w:rPr>
        <w:t>[</w:t>
      </w:r>
      <w:r>
        <w:rPr>
          <w:b/>
          <w:color w:val="000000" w:themeColor="text1"/>
          <w:sz w:val="21"/>
          <w:highlight w:val="yellow"/>
        </w:rPr>
        <w:t xml:space="preserve">Initial Proposal 1.1.2] </w:t>
      </w:r>
      <w:r>
        <w:rPr>
          <w:sz w:val="21"/>
          <w:highlight w:val="yellow"/>
        </w:rPr>
        <w:t>For Type-1 HARQ codebook, one of following options is supported:</w:t>
      </w:r>
    </w:p>
    <w:p w14:paraId="328EFEBC" w14:textId="77777777" w:rsidR="00AA4AC8" w:rsidRDefault="0082369C">
      <w:pPr>
        <w:pStyle w:val="afc"/>
        <w:numPr>
          <w:ilvl w:val="0"/>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b/>
          <w:color w:val="000000" w:themeColor="text1"/>
          <w:sz w:val="21"/>
          <w:szCs w:val="20"/>
          <w:highlight w:val="yellow"/>
        </w:rPr>
        <w:t xml:space="preserve">Option-1: </w:t>
      </w:r>
      <w:r>
        <w:rPr>
          <w:rFonts w:ascii="Times New Roman" w:hAnsi="Times New Roman"/>
          <w:sz w:val="21"/>
          <w:szCs w:val="20"/>
          <w:highlight w:val="yellow"/>
        </w:rPr>
        <w:t xml:space="preserve">The UE will </w:t>
      </w:r>
      <w:r>
        <w:rPr>
          <w:rFonts w:ascii="Times New Roman" w:hAnsi="Times New Roman"/>
          <w:b/>
          <w:sz w:val="21"/>
          <w:szCs w:val="20"/>
          <w:highlight w:val="yellow"/>
          <w:u w:val="single"/>
        </w:rPr>
        <w:t>report NACK/ACK</w:t>
      </w:r>
      <w:r>
        <w:rPr>
          <w:rFonts w:ascii="Times New Roman" w:hAnsi="Times New Roman"/>
          <w:sz w:val="21"/>
          <w:szCs w:val="20"/>
          <w:highlight w:val="yellow"/>
        </w:rPr>
        <w:t xml:space="preserve"> for the feedback-disabled HARQ process depending on the decoding results of corresponding PDSCH</w:t>
      </w:r>
    </w:p>
    <w:p w14:paraId="32CF46E4" w14:textId="77777777" w:rsidR="00AA4AC8" w:rsidRDefault="0082369C">
      <w:pPr>
        <w:pStyle w:val="afc"/>
        <w:numPr>
          <w:ilvl w:val="0"/>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eastAsiaTheme="minorEastAsia" w:hAnsi="Times New Roman"/>
          <w:b/>
          <w:color w:val="000000" w:themeColor="text1"/>
          <w:sz w:val="21"/>
          <w:szCs w:val="20"/>
          <w:highlight w:val="yellow"/>
        </w:rPr>
        <w:t>Option-</w:t>
      </w:r>
      <w:r>
        <w:rPr>
          <w:rFonts w:ascii="Times New Roman" w:hAnsi="Times New Roman"/>
          <w:b/>
          <w:color w:val="000000" w:themeColor="text1"/>
          <w:sz w:val="21"/>
          <w:szCs w:val="20"/>
          <w:highlight w:val="yellow"/>
        </w:rPr>
        <w:t xml:space="preserve">2: </w:t>
      </w:r>
      <w:r>
        <w:rPr>
          <w:rFonts w:ascii="Times New Roman" w:hAnsi="Times New Roman"/>
          <w:sz w:val="21"/>
          <w:szCs w:val="20"/>
          <w:highlight w:val="yellow"/>
        </w:rPr>
        <w:t xml:space="preserve">The UE will </w:t>
      </w:r>
      <w:r>
        <w:rPr>
          <w:rFonts w:ascii="Times New Roman" w:hAnsi="Times New Roman"/>
          <w:b/>
          <w:sz w:val="21"/>
          <w:szCs w:val="20"/>
          <w:highlight w:val="yellow"/>
          <w:u w:val="single"/>
        </w:rPr>
        <w:t>report NACK-only</w:t>
      </w:r>
      <w:r>
        <w:rPr>
          <w:rFonts w:ascii="Times New Roman" w:hAnsi="Times New Roman"/>
          <w:sz w:val="21"/>
          <w:szCs w:val="20"/>
          <w:highlight w:val="yellow"/>
        </w:rPr>
        <w:t xml:space="preserve"> for the feedback-disabled HARQ process regardless of decoding results of corresponding PDSCH </w:t>
      </w:r>
    </w:p>
    <w:p w14:paraId="54DF7570" w14:textId="77777777" w:rsidR="00AA4AC8" w:rsidRDefault="0082369C">
      <w:pPr>
        <w:pStyle w:val="afc"/>
        <w:numPr>
          <w:ilvl w:val="0"/>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eastAsiaTheme="minorEastAsia" w:hAnsi="Times New Roman"/>
          <w:b/>
          <w:color w:val="000000" w:themeColor="text1"/>
          <w:sz w:val="21"/>
          <w:szCs w:val="20"/>
          <w:highlight w:val="yellow"/>
        </w:rPr>
        <w:t>Option-</w:t>
      </w:r>
      <w:r>
        <w:rPr>
          <w:rFonts w:ascii="Times New Roman" w:hAnsi="Times New Roman"/>
          <w:b/>
          <w:color w:val="000000" w:themeColor="text1"/>
          <w:sz w:val="21"/>
          <w:szCs w:val="20"/>
          <w:highlight w:val="yellow"/>
        </w:rPr>
        <w:t xml:space="preserve">3: </w:t>
      </w:r>
    </w:p>
    <w:p w14:paraId="1BA93703"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DCIs carrying the feedback-disabled and feedback-enabled HARQ processes are detected by UE, the UE will </w:t>
      </w:r>
      <w:r>
        <w:rPr>
          <w:rFonts w:ascii="Times New Roman" w:hAnsi="Times New Roman"/>
          <w:b/>
          <w:sz w:val="21"/>
          <w:szCs w:val="20"/>
          <w:highlight w:val="red"/>
          <w:u w:val="single"/>
        </w:rPr>
        <w:t>report NACK/ACK</w:t>
      </w:r>
      <w:r>
        <w:rPr>
          <w:rFonts w:ascii="Times New Roman" w:hAnsi="Times New Roman"/>
          <w:sz w:val="21"/>
          <w:szCs w:val="20"/>
          <w:highlight w:val="red"/>
        </w:rPr>
        <w:t xml:space="preserve"> </w:t>
      </w:r>
      <w:r>
        <w:rPr>
          <w:rFonts w:ascii="Times New Roman" w:hAnsi="Times New Roman"/>
          <w:sz w:val="21"/>
          <w:szCs w:val="20"/>
          <w:highlight w:val="yellow"/>
        </w:rPr>
        <w:t>for the feedback-disabled HARQ process depending on the decoding results of corresponding PDSCH;</w:t>
      </w:r>
    </w:p>
    <w:p w14:paraId="45B02217"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only DCI carrying feedback-disabled HARQ process is detected by UE, </w:t>
      </w:r>
      <w:r>
        <w:rPr>
          <w:rFonts w:ascii="Times New Roman" w:hAnsi="Times New Roman"/>
          <w:sz w:val="21"/>
          <w:szCs w:val="20"/>
          <w:highlight w:val="yellow"/>
          <w:shd w:val="clear" w:color="auto" w:fill="FFFF00"/>
        </w:rPr>
        <w:t>the UE should skip the HARQ codebook feedback when it is not multiplexed with other feedback in the same UCI</w:t>
      </w:r>
      <w:r>
        <w:rPr>
          <w:rFonts w:ascii="Times New Roman" w:hAnsi="Times New Roman"/>
          <w:sz w:val="21"/>
          <w:szCs w:val="20"/>
          <w:highlight w:val="yellow"/>
        </w:rPr>
        <w:t>.</w:t>
      </w:r>
    </w:p>
    <w:p w14:paraId="1118A872" w14:textId="77777777" w:rsidR="00AA4AC8" w:rsidRDefault="0082369C">
      <w:pPr>
        <w:pStyle w:val="afc"/>
        <w:numPr>
          <w:ilvl w:val="0"/>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eastAsiaTheme="minorEastAsia" w:hAnsi="Times New Roman"/>
          <w:b/>
          <w:color w:val="000000" w:themeColor="text1"/>
          <w:sz w:val="21"/>
          <w:szCs w:val="20"/>
          <w:highlight w:val="yellow"/>
        </w:rPr>
        <w:t>Option-</w:t>
      </w:r>
      <w:r>
        <w:rPr>
          <w:rFonts w:ascii="Times New Roman" w:hAnsi="Times New Roman"/>
          <w:b/>
          <w:color w:val="000000" w:themeColor="text1"/>
          <w:sz w:val="21"/>
          <w:szCs w:val="20"/>
          <w:highlight w:val="yellow"/>
        </w:rPr>
        <w:t xml:space="preserve">4: </w:t>
      </w:r>
    </w:p>
    <w:p w14:paraId="7A02D9F4"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DCIs carrying the feedback-disabled and feedback-enabled HARQ processes are detected by UE, the UE will </w:t>
      </w:r>
      <w:r>
        <w:rPr>
          <w:rFonts w:ascii="Times New Roman" w:hAnsi="Times New Roman"/>
          <w:b/>
          <w:sz w:val="21"/>
          <w:szCs w:val="20"/>
          <w:highlight w:val="yellow"/>
          <w:u w:val="single"/>
        </w:rPr>
        <w:t>report NACK-only</w:t>
      </w:r>
      <w:r>
        <w:rPr>
          <w:rFonts w:ascii="Times New Roman" w:hAnsi="Times New Roman"/>
          <w:sz w:val="21"/>
          <w:szCs w:val="20"/>
          <w:highlight w:val="yellow"/>
        </w:rPr>
        <w:t xml:space="preserve"> for the feedback-disabled HARQ process regardless of decoding results of corresponding PDSCH</w:t>
      </w:r>
    </w:p>
    <w:p w14:paraId="5A705CDA"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only DCI carrying feedback-disabled HARQ process is detected by UE, </w:t>
      </w:r>
      <w:r>
        <w:rPr>
          <w:rFonts w:ascii="Times New Roman" w:hAnsi="Times New Roman"/>
          <w:sz w:val="21"/>
          <w:szCs w:val="20"/>
          <w:highlight w:val="yellow"/>
          <w:shd w:val="clear" w:color="auto" w:fill="FFFF00"/>
        </w:rPr>
        <w:t>the UE should skip the HARQ codebook feedback when it is not multiplexed with other feedback in the same UCI</w:t>
      </w:r>
      <w:r>
        <w:rPr>
          <w:rFonts w:ascii="Times New Roman" w:hAnsi="Times New Roman"/>
          <w:sz w:val="21"/>
          <w:szCs w:val="20"/>
          <w:highlight w:val="yellow"/>
        </w:rPr>
        <w:t>.</w:t>
      </w:r>
    </w:p>
    <w:p w14:paraId="23A6F0BD" w14:textId="77777777" w:rsidR="00AA4AC8" w:rsidRDefault="0082369C">
      <w:pPr>
        <w:pStyle w:val="afc"/>
        <w:numPr>
          <w:ilvl w:val="0"/>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eastAsiaTheme="minorEastAsia" w:hAnsi="Times New Roman"/>
          <w:b/>
          <w:color w:val="000000" w:themeColor="text1"/>
          <w:sz w:val="21"/>
          <w:szCs w:val="20"/>
          <w:highlight w:val="yellow"/>
        </w:rPr>
        <w:t>Option-</w:t>
      </w:r>
      <w:r>
        <w:rPr>
          <w:rFonts w:ascii="Times New Roman" w:hAnsi="Times New Roman"/>
          <w:b/>
          <w:color w:val="000000" w:themeColor="text1"/>
          <w:sz w:val="21"/>
          <w:szCs w:val="20"/>
          <w:highlight w:val="yellow"/>
        </w:rPr>
        <w:t xml:space="preserve">5: </w:t>
      </w:r>
    </w:p>
    <w:p w14:paraId="566E3875"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DCIs carrying the feedback-disabled and feedback-enabled HARQ processes are detected by UE, the UE will </w:t>
      </w:r>
      <w:r>
        <w:rPr>
          <w:rFonts w:ascii="Times New Roman" w:hAnsi="Times New Roman"/>
          <w:b/>
          <w:sz w:val="21"/>
          <w:szCs w:val="20"/>
          <w:highlight w:val="red"/>
          <w:u w:val="single"/>
        </w:rPr>
        <w:t>report NACK/ACK</w:t>
      </w:r>
      <w:r>
        <w:rPr>
          <w:rFonts w:ascii="Times New Roman" w:hAnsi="Times New Roman"/>
          <w:sz w:val="21"/>
          <w:szCs w:val="20"/>
          <w:highlight w:val="red"/>
        </w:rPr>
        <w:t xml:space="preserve"> </w:t>
      </w:r>
      <w:r>
        <w:rPr>
          <w:rFonts w:ascii="Times New Roman" w:hAnsi="Times New Roman"/>
          <w:sz w:val="21"/>
          <w:szCs w:val="20"/>
          <w:highlight w:val="yellow"/>
        </w:rPr>
        <w:t>for the feedback-disabled HARQ process depending on the decoding results of corresponding PDSCH;</w:t>
      </w:r>
    </w:p>
    <w:p w14:paraId="5D78CA60"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only DCI carrying feedback-disabled HARQ process is detected by UE, </w:t>
      </w:r>
      <w:r>
        <w:rPr>
          <w:rFonts w:ascii="Times New Roman" w:hAnsi="Times New Roman"/>
          <w:sz w:val="21"/>
          <w:szCs w:val="20"/>
          <w:highlight w:val="yellow"/>
          <w:shd w:val="clear" w:color="auto" w:fill="FFFF00"/>
        </w:rPr>
        <w:t xml:space="preserve">the UE should skip the HARQ codebook feedback when it is not multiplexed with other feedback in the same UCI </w:t>
      </w:r>
      <w:r>
        <w:rPr>
          <w:rFonts w:ascii="Times New Roman" w:hAnsi="Times New Roman"/>
          <w:color w:val="FF0000"/>
          <w:sz w:val="21"/>
          <w:szCs w:val="20"/>
          <w:highlight w:val="yellow"/>
          <w:shd w:val="clear" w:color="auto" w:fill="FFFF00"/>
        </w:rPr>
        <w:t>in PUCCH</w:t>
      </w:r>
      <w:r>
        <w:rPr>
          <w:rFonts w:ascii="Times New Roman" w:hAnsi="Times New Roman"/>
          <w:sz w:val="21"/>
          <w:szCs w:val="20"/>
          <w:highlight w:val="yellow"/>
        </w:rPr>
        <w:t>.</w:t>
      </w:r>
    </w:p>
    <w:p w14:paraId="7DF8B7F6" w14:textId="77777777" w:rsidR="00AA4AC8" w:rsidRDefault="0082369C">
      <w:pPr>
        <w:pStyle w:val="afc"/>
        <w:numPr>
          <w:ilvl w:val="0"/>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eastAsiaTheme="minorEastAsia" w:hAnsi="Times New Roman"/>
          <w:b/>
          <w:color w:val="000000" w:themeColor="text1"/>
          <w:sz w:val="21"/>
          <w:szCs w:val="20"/>
          <w:highlight w:val="yellow"/>
        </w:rPr>
        <w:t>Option-</w:t>
      </w:r>
      <w:r>
        <w:rPr>
          <w:rFonts w:ascii="Times New Roman" w:hAnsi="Times New Roman"/>
          <w:b/>
          <w:color w:val="000000" w:themeColor="text1"/>
          <w:sz w:val="21"/>
          <w:szCs w:val="20"/>
          <w:highlight w:val="yellow"/>
        </w:rPr>
        <w:t xml:space="preserve">6: </w:t>
      </w:r>
    </w:p>
    <w:p w14:paraId="49B65892"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If DCIs carrying the feedback-disabled and feedback-enabled HARQ processes are detected by UE, the UE will</w:t>
      </w:r>
      <w:r>
        <w:rPr>
          <w:rFonts w:ascii="Times New Roman" w:hAnsi="Times New Roman"/>
          <w:b/>
          <w:sz w:val="21"/>
          <w:szCs w:val="20"/>
          <w:highlight w:val="yellow"/>
          <w:u w:val="single"/>
        </w:rPr>
        <w:t xml:space="preserve"> report NACK-only</w:t>
      </w:r>
      <w:r>
        <w:rPr>
          <w:rFonts w:ascii="Times New Roman" w:hAnsi="Times New Roman"/>
          <w:sz w:val="21"/>
          <w:szCs w:val="20"/>
          <w:highlight w:val="yellow"/>
        </w:rPr>
        <w:t xml:space="preserve"> for the feedback-disabled HARQ process regardless of decoding results of corresponding PDSCH</w:t>
      </w:r>
    </w:p>
    <w:p w14:paraId="7370AAC8" w14:textId="77777777" w:rsidR="00AA4AC8" w:rsidRDefault="0082369C">
      <w:pPr>
        <w:pStyle w:val="afc"/>
        <w:numPr>
          <w:ilvl w:val="1"/>
          <w:numId w:val="15"/>
        </w:numPr>
        <w:snapToGrid w:val="0"/>
        <w:spacing w:beforeLines="50" w:before="120" w:afterLines="50" w:after="120"/>
        <w:rPr>
          <w:rFonts w:ascii="Times New Roman" w:hAnsi="Times New Roman"/>
          <w:b/>
          <w:color w:val="000000" w:themeColor="text1"/>
          <w:sz w:val="21"/>
          <w:szCs w:val="20"/>
          <w:highlight w:val="yellow"/>
        </w:rPr>
      </w:pPr>
      <w:r>
        <w:rPr>
          <w:rFonts w:ascii="Times New Roman" w:hAnsi="Times New Roman"/>
          <w:sz w:val="21"/>
          <w:szCs w:val="20"/>
          <w:highlight w:val="yellow"/>
        </w:rPr>
        <w:t xml:space="preserve">If only DCI carrying feedback-disabled HARQ process is detected by UE, </w:t>
      </w:r>
      <w:r>
        <w:rPr>
          <w:rFonts w:ascii="Times New Roman" w:hAnsi="Times New Roman"/>
          <w:sz w:val="21"/>
          <w:szCs w:val="20"/>
          <w:highlight w:val="yellow"/>
          <w:shd w:val="clear" w:color="auto" w:fill="FFFF00"/>
        </w:rPr>
        <w:t xml:space="preserve">the UE should skip the HARQ codebook feedback when it is not multiplexed with other feedback in the same UCI </w:t>
      </w:r>
      <w:r>
        <w:rPr>
          <w:rFonts w:ascii="Times New Roman" w:hAnsi="Times New Roman"/>
          <w:color w:val="FF0000"/>
          <w:sz w:val="21"/>
          <w:szCs w:val="20"/>
          <w:highlight w:val="yellow"/>
          <w:shd w:val="clear" w:color="auto" w:fill="FFFF00"/>
        </w:rPr>
        <w:t>in PUCCH</w:t>
      </w:r>
      <w:r>
        <w:rPr>
          <w:rFonts w:ascii="Times New Roman" w:hAnsi="Times New Roman"/>
          <w:sz w:val="21"/>
          <w:szCs w:val="20"/>
          <w:highlight w:val="yellow"/>
        </w:rPr>
        <w:t>.</w:t>
      </w:r>
    </w:p>
    <w:p w14:paraId="4454C161" w14:textId="77777777" w:rsidR="00AA4AC8" w:rsidRDefault="0082369C">
      <w:pPr>
        <w:snapToGrid w:val="0"/>
        <w:spacing w:beforeLines="50" w:before="120" w:afterLines="50" w:after="120"/>
        <w:rPr>
          <w:i/>
          <w:highlight w:val="yellow"/>
        </w:rPr>
      </w:pPr>
      <w:r>
        <w:rPr>
          <w:iCs/>
        </w:rPr>
        <w:t>Please provide your views on your preference including 2</w:t>
      </w:r>
      <w:r>
        <w:rPr>
          <w:iCs/>
          <w:vertAlign w:val="superscript"/>
        </w:rPr>
        <w:t>nd</w:t>
      </w:r>
      <w:r>
        <w:rPr>
          <w:iCs/>
        </w:rPr>
        <w:t xml:space="preserve"> priority and options with strong concerns</w:t>
      </w:r>
      <w:r>
        <w:rPr>
          <w:rFonts w:ascii="宋体" w:eastAsia="宋体" w:hAnsi="宋体" w:cs="宋体" w:hint="eastAsia"/>
          <w:iCs/>
        </w:rPr>
        <w:t>：</w:t>
      </w:r>
    </w:p>
    <w:tbl>
      <w:tblPr>
        <w:tblW w:w="10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392"/>
        <w:gridCol w:w="1560"/>
        <w:gridCol w:w="2625"/>
        <w:gridCol w:w="3145"/>
      </w:tblGrid>
      <w:tr w:rsidR="00AA4AC8" w14:paraId="2CA0D753" w14:textId="77777777">
        <w:trPr>
          <w:jc w:val="center"/>
        </w:trPr>
        <w:tc>
          <w:tcPr>
            <w:tcW w:w="1438" w:type="dxa"/>
            <w:vMerge w:val="restart"/>
            <w:tcBorders>
              <w:top w:val="single" w:sz="4" w:space="0" w:color="auto"/>
              <w:left w:val="single" w:sz="4" w:space="0" w:color="auto"/>
              <w:right w:val="single" w:sz="4" w:space="0" w:color="auto"/>
            </w:tcBorders>
            <w:vAlign w:val="center"/>
          </w:tcPr>
          <w:p w14:paraId="028B707F" w14:textId="77777777" w:rsidR="00AA4AC8" w:rsidRDefault="0082369C">
            <w:pPr>
              <w:jc w:val="center"/>
              <w:rPr>
                <w:b/>
                <w:sz w:val="28"/>
              </w:rPr>
            </w:pPr>
            <w:r>
              <w:rPr>
                <w:b/>
                <w:sz w:val="22"/>
              </w:rPr>
              <w:t>Company</w:t>
            </w:r>
          </w:p>
        </w:tc>
        <w:tc>
          <w:tcPr>
            <w:tcW w:w="8722" w:type="dxa"/>
            <w:gridSpan w:val="4"/>
            <w:tcBorders>
              <w:top w:val="single" w:sz="4" w:space="0" w:color="auto"/>
              <w:left w:val="single" w:sz="4" w:space="0" w:color="auto"/>
              <w:bottom w:val="single" w:sz="4" w:space="0" w:color="auto"/>
              <w:right w:val="single" w:sz="4" w:space="0" w:color="auto"/>
            </w:tcBorders>
            <w:vAlign w:val="center"/>
          </w:tcPr>
          <w:p w14:paraId="3A676BD7" w14:textId="77777777" w:rsidR="00AA4AC8" w:rsidRDefault="0082369C">
            <w:pPr>
              <w:jc w:val="center"/>
              <w:rPr>
                <w:b/>
                <w:sz w:val="22"/>
              </w:rPr>
            </w:pPr>
            <w:r>
              <w:rPr>
                <w:b/>
                <w:sz w:val="22"/>
              </w:rPr>
              <w:t>Comments and Views</w:t>
            </w:r>
          </w:p>
        </w:tc>
      </w:tr>
      <w:tr w:rsidR="00AA4AC8" w14:paraId="35F2B755" w14:textId="77777777">
        <w:trPr>
          <w:jc w:val="center"/>
        </w:trPr>
        <w:tc>
          <w:tcPr>
            <w:tcW w:w="1438" w:type="dxa"/>
            <w:vMerge/>
            <w:tcBorders>
              <w:left w:val="single" w:sz="4" w:space="0" w:color="auto"/>
              <w:bottom w:val="single" w:sz="4" w:space="0" w:color="auto"/>
              <w:right w:val="single" w:sz="4" w:space="0" w:color="auto"/>
            </w:tcBorders>
            <w:vAlign w:val="center"/>
          </w:tcPr>
          <w:p w14:paraId="317148D2" w14:textId="77777777" w:rsidR="00AA4AC8" w:rsidRDefault="00AA4AC8">
            <w:pPr>
              <w:jc w:val="center"/>
              <w:rPr>
                <w:rFonts w:cs="Arial"/>
              </w:rPr>
            </w:pPr>
          </w:p>
        </w:tc>
        <w:tc>
          <w:tcPr>
            <w:tcW w:w="1392" w:type="dxa"/>
            <w:tcBorders>
              <w:top w:val="single" w:sz="4" w:space="0" w:color="auto"/>
              <w:left w:val="single" w:sz="4" w:space="0" w:color="auto"/>
              <w:bottom w:val="single" w:sz="4" w:space="0" w:color="auto"/>
              <w:right w:val="single" w:sz="4" w:space="0" w:color="auto"/>
            </w:tcBorders>
            <w:vAlign w:val="center"/>
          </w:tcPr>
          <w:p w14:paraId="62036692" w14:textId="77777777" w:rsidR="00AA4AC8" w:rsidRDefault="0082369C">
            <w:pPr>
              <w:snapToGrid w:val="0"/>
              <w:jc w:val="center"/>
              <w:rPr>
                <w:rFonts w:eastAsiaTheme="minorEastAsia"/>
              </w:rPr>
            </w:pPr>
            <w:r>
              <w:rPr>
                <w:rFonts w:eastAsiaTheme="minorEastAsia" w:hint="eastAsia"/>
              </w:rPr>
              <w:t>1</w:t>
            </w:r>
            <w:r>
              <w:rPr>
                <w:rFonts w:eastAsiaTheme="minorEastAsia"/>
                <w:vertAlign w:val="superscript"/>
              </w:rPr>
              <w:t>ST</w:t>
            </w:r>
            <w:r>
              <w:rPr>
                <w:rFonts w:eastAsiaTheme="minorEastAsia"/>
              </w:rPr>
              <w:t xml:space="preserve"> preference</w:t>
            </w:r>
          </w:p>
        </w:tc>
        <w:tc>
          <w:tcPr>
            <w:tcW w:w="1560" w:type="dxa"/>
            <w:tcBorders>
              <w:top w:val="single" w:sz="4" w:space="0" w:color="auto"/>
              <w:left w:val="single" w:sz="4" w:space="0" w:color="auto"/>
              <w:bottom w:val="single" w:sz="4" w:space="0" w:color="auto"/>
              <w:right w:val="single" w:sz="4" w:space="0" w:color="auto"/>
            </w:tcBorders>
          </w:tcPr>
          <w:p w14:paraId="3782D76A" w14:textId="77777777" w:rsidR="00AA4AC8" w:rsidRDefault="0082369C">
            <w:pPr>
              <w:snapToGrid w:val="0"/>
              <w:jc w:val="center"/>
              <w:rPr>
                <w:rFonts w:eastAsiaTheme="minorEastAsia"/>
              </w:rPr>
            </w:pPr>
            <w:r>
              <w:rPr>
                <w:rFonts w:eastAsiaTheme="minorEastAsia" w:hint="eastAsia"/>
              </w:rPr>
              <w:t>2</w:t>
            </w:r>
            <w:r>
              <w:rPr>
                <w:rFonts w:eastAsiaTheme="minorEastAsia"/>
                <w:vertAlign w:val="superscript"/>
              </w:rPr>
              <w:t>nd</w:t>
            </w:r>
            <w:r>
              <w:rPr>
                <w:rFonts w:eastAsiaTheme="minorEastAsia"/>
              </w:rPr>
              <w:t xml:space="preserve"> preference</w:t>
            </w:r>
          </w:p>
        </w:tc>
        <w:tc>
          <w:tcPr>
            <w:tcW w:w="2625" w:type="dxa"/>
            <w:tcBorders>
              <w:top w:val="single" w:sz="4" w:space="0" w:color="auto"/>
              <w:left w:val="single" w:sz="4" w:space="0" w:color="auto"/>
              <w:bottom w:val="single" w:sz="4" w:space="0" w:color="auto"/>
              <w:right w:val="single" w:sz="4" w:space="0" w:color="auto"/>
            </w:tcBorders>
          </w:tcPr>
          <w:p w14:paraId="318ED852" w14:textId="77777777" w:rsidR="00AA4AC8" w:rsidRDefault="0082369C">
            <w:pPr>
              <w:snapToGrid w:val="0"/>
              <w:jc w:val="center"/>
              <w:rPr>
                <w:rFonts w:eastAsiaTheme="minorEastAsia"/>
              </w:rPr>
            </w:pPr>
            <w:r>
              <w:rPr>
                <w:rFonts w:eastAsiaTheme="minorEastAsia"/>
              </w:rPr>
              <w:t>Options with strong concerns</w:t>
            </w:r>
          </w:p>
        </w:tc>
        <w:tc>
          <w:tcPr>
            <w:tcW w:w="3145" w:type="dxa"/>
            <w:tcBorders>
              <w:top w:val="single" w:sz="4" w:space="0" w:color="auto"/>
              <w:left w:val="single" w:sz="4" w:space="0" w:color="auto"/>
              <w:bottom w:val="single" w:sz="4" w:space="0" w:color="auto"/>
              <w:right w:val="single" w:sz="4" w:space="0" w:color="auto"/>
            </w:tcBorders>
          </w:tcPr>
          <w:p w14:paraId="500DA152" w14:textId="77777777" w:rsidR="00AA4AC8" w:rsidRDefault="0082369C">
            <w:pPr>
              <w:snapToGrid w:val="0"/>
              <w:rPr>
                <w:rFonts w:eastAsiaTheme="minorEastAsia"/>
              </w:rPr>
            </w:pPr>
            <w:r>
              <w:rPr>
                <w:rFonts w:eastAsiaTheme="minorEastAsia" w:hint="eastAsia"/>
              </w:rPr>
              <w:t>C</w:t>
            </w:r>
            <w:r>
              <w:rPr>
                <w:rFonts w:eastAsiaTheme="minorEastAsia"/>
              </w:rPr>
              <w:t>omments if any</w:t>
            </w:r>
          </w:p>
        </w:tc>
      </w:tr>
      <w:tr w:rsidR="00AA4AC8" w14:paraId="7CDD7540"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3B700AFA" w14:textId="77777777" w:rsidR="00AA4AC8" w:rsidRDefault="0082369C">
            <w:pPr>
              <w:jc w:val="center"/>
              <w:rPr>
                <w:rFonts w:cs="Arial"/>
              </w:rPr>
            </w:pPr>
            <w:r>
              <w:rPr>
                <w:rFonts w:cs="Arial"/>
              </w:rPr>
              <w:t>Apple</w:t>
            </w:r>
          </w:p>
        </w:tc>
        <w:tc>
          <w:tcPr>
            <w:tcW w:w="1392" w:type="dxa"/>
            <w:tcBorders>
              <w:top w:val="single" w:sz="4" w:space="0" w:color="auto"/>
              <w:left w:val="single" w:sz="4" w:space="0" w:color="auto"/>
              <w:bottom w:val="single" w:sz="4" w:space="0" w:color="auto"/>
              <w:right w:val="single" w:sz="4" w:space="0" w:color="auto"/>
            </w:tcBorders>
            <w:vAlign w:val="center"/>
          </w:tcPr>
          <w:p w14:paraId="5461DD27" w14:textId="77777777" w:rsidR="00AA4AC8" w:rsidRDefault="0082369C">
            <w:pPr>
              <w:snapToGrid w:val="0"/>
            </w:pPr>
            <w:r>
              <w:t>Option 2</w:t>
            </w:r>
          </w:p>
        </w:tc>
        <w:tc>
          <w:tcPr>
            <w:tcW w:w="1560" w:type="dxa"/>
            <w:tcBorders>
              <w:top w:val="single" w:sz="4" w:space="0" w:color="auto"/>
              <w:left w:val="single" w:sz="4" w:space="0" w:color="auto"/>
              <w:bottom w:val="single" w:sz="4" w:space="0" w:color="auto"/>
              <w:right w:val="single" w:sz="4" w:space="0" w:color="auto"/>
            </w:tcBorders>
          </w:tcPr>
          <w:p w14:paraId="496E142F" w14:textId="77777777" w:rsidR="00AA4AC8" w:rsidRDefault="00AA4AC8">
            <w:pPr>
              <w:snapToGrid w:val="0"/>
            </w:pPr>
          </w:p>
        </w:tc>
        <w:tc>
          <w:tcPr>
            <w:tcW w:w="2625" w:type="dxa"/>
            <w:tcBorders>
              <w:top w:val="single" w:sz="4" w:space="0" w:color="auto"/>
              <w:left w:val="single" w:sz="4" w:space="0" w:color="auto"/>
              <w:bottom w:val="single" w:sz="4" w:space="0" w:color="auto"/>
              <w:right w:val="single" w:sz="4" w:space="0" w:color="auto"/>
            </w:tcBorders>
          </w:tcPr>
          <w:p w14:paraId="1F0921F2" w14:textId="77777777" w:rsidR="00AA4AC8" w:rsidRDefault="0082369C">
            <w:pPr>
              <w:snapToGrid w:val="0"/>
              <w:rPr>
                <w:ins w:id="2" w:author="Nishio Akihiko (西尾 昭彦)" w:date="2021-11-15T21:44:00Z"/>
              </w:rPr>
            </w:pPr>
            <w:r>
              <w:t>Option 1, Option 3, Option 5</w:t>
            </w:r>
          </w:p>
          <w:p w14:paraId="3C6816B5" w14:textId="77777777" w:rsidR="00AA4AC8" w:rsidRDefault="00AA4AC8">
            <w:pPr>
              <w:rPr>
                <w:ins w:id="3" w:author="Nishio Akihiko (西尾 昭彦)" w:date="2021-11-15T21:44:00Z"/>
              </w:rPr>
            </w:pPr>
          </w:p>
          <w:p w14:paraId="003BF6C6" w14:textId="77777777" w:rsidR="00AA4AC8" w:rsidRDefault="00AA4AC8">
            <w:pPr>
              <w:rPr>
                <w:ins w:id="4" w:author="Nishio Akihiko (西尾 昭彦)" w:date="2021-11-15T21:44:00Z"/>
              </w:rPr>
            </w:pPr>
          </w:p>
          <w:p w14:paraId="1776B551" w14:textId="77777777" w:rsidR="00AA4AC8" w:rsidRDefault="00AA4AC8">
            <w:pPr>
              <w:rPr>
                <w:ins w:id="5" w:author="Nishio Akihiko (西尾 昭彦)" w:date="2021-11-15T21:44:00Z"/>
              </w:rPr>
            </w:pPr>
          </w:p>
          <w:p w14:paraId="40169E6C" w14:textId="77777777" w:rsidR="00AA4AC8" w:rsidRDefault="00AA4AC8">
            <w:pPr>
              <w:rPr>
                <w:ins w:id="6" w:author="Nishio Akihiko (西尾 昭彦)" w:date="2021-11-15T21:44:00Z"/>
              </w:rPr>
            </w:pPr>
          </w:p>
          <w:p w14:paraId="3EC86DB5" w14:textId="77777777" w:rsidR="00AA4AC8" w:rsidRDefault="00AA4AC8"/>
        </w:tc>
        <w:tc>
          <w:tcPr>
            <w:tcW w:w="3145" w:type="dxa"/>
            <w:tcBorders>
              <w:top w:val="single" w:sz="4" w:space="0" w:color="auto"/>
              <w:left w:val="single" w:sz="4" w:space="0" w:color="auto"/>
              <w:bottom w:val="single" w:sz="4" w:space="0" w:color="auto"/>
              <w:right w:val="single" w:sz="4" w:space="0" w:color="auto"/>
            </w:tcBorders>
          </w:tcPr>
          <w:p w14:paraId="2A2587F4" w14:textId="77777777" w:rsidR="00AA4AC8" w:rsidRDefault="0082369C">
            <w:pPr>
              <w:snapToGrid w:val="0"/>
            </w:pPr>
            <w:r>
              <w:lastRenderedPageBreak/>
              <w:t xml:space="preserve">We think the decoding performance could be largely increased by sending NACK only for feedback disabled HARQ processes. </w:t>
            </w:r>
          </w:p>
        </w:tc>
      </w:tr>
      <w:tr w:rsidR="00AA4AC8" w14:paraId="471301A2"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56E821BE" w14:textId="77777777" w:rsidR="00AA4AC8" w:rsidRDefault="0082369C">
            <w:pPr>
              <w:jc w:val="center"/>
              <w:rPr>
                <w:rFonts w:cs="Arial"/>
              </w:rPr>
            </w:pPr>
            <w:r>
              <w:rPr>
                <w:rFonts w:cs="Arial"/>
              </w:rPr>
              <w:t>Xiaomi</w:t>
            </w:r>
          </w:p>
        </w:tc>
        <w:tc>
          <w:tcPr>
            <w:tcW w:w="1392" w:type="dxa"/>
            <w:tcBorders>
              <w:top w:val="single" w:sz="4" w:space="0" w:color="auto"/>
              <w:left w:val="single" w:sz="4" w:space="0" w:color="auto"/>
              <w:bottom w:val="single" w:sz="4" w:space="0" w:color="auto"/>
              <w:right w:val="single" w:sz="4" w:space="0" w:color="auto"/>
            </w:tcBorders>
            <w:vAlign w:val="center"/>
          </w:tcPr>
          <w:p w14:paraId="22635BDA" w14:textId="77777777" w:rsidR="00AA4AC8" w:rsidRDefault="0082369C">
            <w:pPr>
              <w:snapToGrid w:val="0"/>
            </w:pPr>
            <w:r>
              <w:t>Option 2</w:t>
            </w:r>
          </w:p>
        </w:tc>
        <w:tc>
          <w:tcPr>
            <w:tcW w:w="1560" w:type="dxa"/>
            <w:tcBorders>
              <w:top w:val="single" w:sz="4" w:space="0" w:color="auto"/>
              <w:left w:val="single" w:sz="4" w:space="0" w:color="auto"/>
              <w:bottom w:val="single" w:sz="4" w:space="0" w:color="auto"/>
              <w:right w:val="single" w:sz="4" w:space="0" w:color="auto"/>
            </w:tcBorders>
          </w:tcPr>
          <w:p w14:paraId="58C78E43" w14:textId="77777777" w:rsidR="00AA4AC8" w:rsidRDefault="00AA4AC8">
            <w:pPr>
              <w:snapToGrid w:val="0"/>
            </w:pPr>
          </w:p>
        </w:tc>
        <w:tc>
          <w:tcPr>
            <w:tcW w:w="2625" w:type="dxa"/>
            <w:tcBorders>
              <w:top w:val="single" w:sz="4" w:space="0" w:color="auto"/>
              <w:left w:val="single" w:sz="4" w:space="0" w:color="auto"/>
              <w:bottom w:val="single" w:sz="4" w:space="0" w:color="auto"/>
              <w:right w:val="single" w:sz="4" w:space="0" w:color="auto"/>
            </w:tcBorders>
          </w:tcPr>
          <w:p w14:paraId="7AA998E5" w14:textId="77777777" w:rsidR="00AA4AC8" w:rsidRDefault="0082369C">
            <w:pPr>
              <w:snapToGrid w:val="0"/>
            </w:pPr>
            <w:r>
              <w:t>Option-3, 4, 5 and 6</w:t>
            </w:r>
          </w:p>
        </w:tc>
        <w:tc>
          <w:tcPr>
            <w:tcW w:w="3145" w:type="dxa"/>
            <w:tcBorders>
              <w:top w:val="single" w:sz="4" w:space="0" w:color="auto"/>
              <w:left w:val="single" w:sz="4" w:space="0" w:color="auto"/>
              <w:bottom w:val="single" w:sz="4" w:space="0" w:color="auto"/>
              <w:right w:val="single" w:sz="4" w:space="0" w:color="auto"/>
            </w:tcBorders>
          </w:tcPr>
          <w:p w14:paraId="575B935C" w14:textId="77777777" w:rsidR="00AA4AC8" w:rsidRDefault="0082369C">
            <w:pPr>
              <w:snapToGrid w:val="0"/>
            </w:pPr>
            <w:r>
              <w:t xml:space="preserve">The benefit of skipping the HARQ codebook feedback is interference reduction and UE power saving, it seems diverge from the purpose of Type-1 HARQ codebook which sacrificing the overhead and flexibility to increase the reliability. </w:t>
            </w:r>
          </w:p>
          <w:p w14:paraId="6F310829" w14:textId="77777777" w:rsidR="00AA4AC8" w:rsidRDefault="0082369C">
            <w:pPr>
              <w:snapToGrid w:val="0"/>
            </w:pPr>
            <w:r>
              <w:t>The Type-2 HARQ codebook in NTN can be configured for interference reduction and UE power saving, as the UE skips the HARQ feedback for feedback-disabled HARQ processes in Type 2 CB.</w:t>
            </w:r>
          </w:p>
        </w:tc>
      </w:tr>
      <w:tr w:rsidR="00AA4AC8" w14:paraId="36D61E88"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3F327DB1" w14:textId="77777777" w:rsidR="00AA4AC8" w:rsidRDefault="0082369C">
            <w:pPr>
              <w:jc w:val="center"/>
              <w:rPr>
                <w:rFonts w:cs="Arial"/>
              </w:rPr>
            </w:pPr>
            <w:r>
              <w:rPr>
                <w:rFonts w:cs="Arial"/>
              </w:rPr>
              <w:t>NTT DOCOMO</w:t>
            </w:r>
          </w:p>
        </w:tc>
        <w:tc>
          <w:tcPr>
            <w:tcW w:w="1392" w:type="dxa"/>
            <w:tcBorders>
              <w:top w:val="single" w:sz="4" w:space="0" w:color="auto"/>
              <w:left w:val="single" w:sz="4" w:space="0" w:color="auto"/>
              <w:bottom w:val="single" w:sz="4" w:space="0" w:color="auto"/>
              <w:right w:val="single" w:sz="4" w:space="0" w:color="auto"/>
            </w:tcBorders>
            <w:vAlign w:val="center"/>
          </w:tcPr>
          <w:p w14:paraId="0F0CC0FA" w14:textId="77777777" w:rsidR="00AA4AC8" w:rsidRDefault="0082369C">
            <w:pPr>
              <w:snapToGrid w:val="0"/>
            </w:pPr>
            <w:r>
              <w:t>Option 4</w:t>
            </w:r>
          </w:p>
        </w:tc>
        <w:tc>
          <w:tcPr>
            <w:tcW w:w="1560" w:type="dxa"/>
            <w:tcBorders>
              <w:top w:val="single" w:sz="4" w:space="0" w:color="auto"/>
              <w:left w:val="single" w:sz="4" w:space="0" w:color="auto"/>
              <w:bottom w:val="single" w:sz="4" w:space="0" w:color="auto"/>
              <w:right w:val="single" w:sz="4" w:space="0" w:color="auto"/>
            </w:tcBorders>
          </w:tcPr>
          <w:p w14:paraId="7753E9D8" w14:textId="77777777" w:rsidR="00AA4AC8" w:rsidRDefault="0082369C">
            <w:pPr>
              <w:snapToGrid w:val="0"/>
            </w:pPr>
            <w:r>
              <w:t>Option 2</w:t>
            </w:r>
          </w:p>
        </w:tc>
        <w:tc>
          <w:tcPr>
            <w:tcW w:w="2625" w:type="dxa"/>
            <w:tcBorders>
              <w:top w:val="single" w:sz="4" w:space="0" w:color="auto"/>
              <w:left w:val="single" w:sz="4" w:space="0" w:color="auto"/>
              <w:bottom w:val="single" w:sz="4" w:space="0" w:color="auto"/>
              <w:right w:val="single" w:sz="4" w:space="0" w:color="auto"/>
            </w:tcBorders>
          </w:tcPr>
          <w:p w14:paraId="693EF80E" w14:textId="77777777" w:rsidR="00AA4AC8" w:rsidRDefault="0082369C">
            <w:pPr>
              <w:snapToGrid w:val="0"/>
            </w:pPr>
            <w:r>
              <w:t>Option 1/3/5/6</w:t>
            </w:r>
          </w:p>
        </w:tc>
        <w:tc>
          <w:tcPr>
            <w:tcW w:w="3145" w:type="dxa"/>
            <w:tcBorders>
              <w:top w:val="single" w:sz="4" w:space="0" w:color="auto"/>
              <w:left w:val="single" w:sz="4" w:space="0" w:color="auto"/>
              <w:bottom w:val="single" w:sz="4" w:space="0" w:color="auto"/>
              <w:right w:val="single" w:sz="4" w:space="0" w:color="auto"/>
            </w:tcBorders>
          </w:tcPr>
          <w:p w14:paraId="2FBF2334" w14:textId="77777777" w:rsidR="00AA4AC8" w:rsidRDefault="0082369C">
            <w:pPr>
              <w:snapToGrid w:val="0"/>
            </w:pPr>
            <w:r>
              <w:t>Still we do not receive response to the question on processing time/scheduling restriction. Without this, we do not accept 1/3/5.</w:t>
            </w:r>
          </w:p>
          <w:p w14:paraId="52B64DDE" w14:textId="77777777" w:rsidR="00AA4AC8" w:rsidRDefault="0082369C">
            <w:pPr>
              <w:snapToGrid w:val="0"/>
            </w:pPr>
            <w:r>
              <w:t>We do not think 5/6 are necessary. PUCCH/PUSCH should be handled in the same way.</w:t>
            </w:r>
          </w:p>
        </w:tc>
      </w:tr>
      <w:tr w:rsidR="00AA4AC8" w14:paraId="7B6071F8"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4F5E1BED" w14:textId="77777777" w:rsidR="00AA4AC8" w:rsidRDefault="0082369C">
            <w:pPr>
              <w:jc w:val="center"/>
            </w:pPr>
            <w:r>
              <w:rPr>
                <w:rFonts w:eastAsiaTheme="minorEastAsia"/>
              </w:rPr>
              <w:t>vivo</w:t>
            </w:r>
          </w:p>
        </w:tc>
        <w:tc>
          <w:tcPr>
            <w:tcW w:w="1392" w:type="dxa"/>
            <w:tcBorders>
              <w:top w:val="single" w:sz="4" w:space="0" w:color="auto"/>
              <w:left w:val="single" w:sz="4" w:space="0" w:color="auto"/>
              <w:bottom w:val="single" w:sz="4" w:space="0" w:color="auto"/>
              <w:right w:val="single" w:sz="4" w:space="0" w:color="auto"/>
            </w:tcBorders>
            <w:vAlign w:val="center"/>
          </w:tcPr>
          <w:p w14:paraId="686228BD" w14:textId="77777777" w:rsidR="00AA4AC8" w:rsidRDefault="0082369C">
            <w:pPr>
              <w:snapToGrid w:val="0"/>
            </w:pPr>
            <w:r>
              <w:rPr>
                <w:rFonts w:eastAsiaTheme="minorEastAsia" w:hint="eastAsia"/>
              </w:rPr>
              <w:t>O</w:t>
            </w:r>
            <w:r>
              <w:rPr>
                <w:rFonts w:eastAsiaTheme="minorEastAsia"/>
              </w:rPr>
              <w:t>ption-3</w:t>
            </w:r>
          </w:p>
        </w:tc>
        <w:tc>
          <w:tcPr>
            <w:tcW w:w="1560" w:type="dxa"/>
            <w:tcBorders>
              <w:top w:val="single" w:sz="4" w:space="0" w:color="auto"/>
              <w:left w:val="single" w:sz="4" w:space="0" w:color="auto"/>
              <w:bottom w:val="single" w:sz="4" w:space="0" w:color="auto"/>
              <w:right w:val="single" w:sz="4" w:space="0" w:color="auto"/>
            </w:tcBorders>
          </w:tcPr>
          <w:p w14:paraId="18C1CC1B" w14:textId="77777777" w:rsidR="00AA4AC8" w:rsidRDefault="0082369C">
            <w:pPr>
              <w:snapToGrid w:val="0"/>
            </w:pPr>
            <w:r>
              <w:rPr>
                <w:rFonts w:eastAsiaTheme="minorEastAsia" w:hint="eastAsia"/>
              </w:rPr>
              <w:t>O</w:t>
            </w:r>
            <w:r>
              <w:rPr>
                <w:rFonts w:eastAsiaTheme="minorEastAsia"/>
              </w:rPr>
              <w:t>ption-1</w:t>
            </w:r>
          </w:p>
        </w:tc>
        <w:tc>
          <w:tcPr>
            <w:tcW w:w="2625" w:type="dxa"/>
            <w:tcBorders>
              <w:top w:val="single" w:sz="4" w:space="0" w:color="auto"/>
              <w:left w:val="single" w:sz="4" w:space="0" w:color="auto"/>
              <w:bottom w:val="single" w:sz="4" w:space="0" w:color="auto"/>
              <w:right w:val="single" w:sz="4" w:space="0" w:color="auto"/>
            </w:tcBorders>
          </w:tcPr>
          <w:p w14:paraId="5DBFDB6F" w14:textId="77777777" w:rsidR="00AA4AC8" w:rsidRDefault="00AA4AC8">
            <w:pPr>
              <w:snapToGrid w:val="0"/>
            </w:pPr>
          </w:p>
        </w:tc>
        <w:tc>
          <w:tcPr>
            <w:tcW w:w="3145" w:type="dxa"/>
            <w:tcBorders>
              <w:top w:val="single" w:sz="4" w:space="0" w:color="auto"/>
              <w:left w:val="single" w:sz="4" w:space="0" w:color="auto"/>
              <w:bottom w:val="single" w:sz="4" w:space="0" w:color="auto"/>
              <w:right w:val="single" w:sz="4" w:space="0" w:color="auto"/>
            </w:tcBorders>
          </w:tcPr>
          <w:p w14:paraId="245210EF" w14:textId="77777777" w:rsidR="00AA4AC8" w:rsidRDefault="00AA4AC8">
            <w:pPr>
              <w:snapToGrid w:val="0"/>
            </w:pPr>
          </w:p>
        </w:tc>
      </w:tr>
      <w:tr w:rsidR="00AA4AC8" w14:paraId="1615BFAC"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3E012C6F" w14:textId="77777777" w:rsidR="00AA4AC8" w:rsidRDefault="0082369C">
            <w:pPr>
              <w:jc w:val="center"/>
              <w:rPr>
                <w:rFonts w:eastAsiaTheme="minorEastAsia"/>
              </w:rPr>
            </w:pPr>
            <w:r>
              <w:rPr>
                <w:rFonts w:cs="Arial"/>
              </w:rPr>
              <w:t>OPPO</w:t>
            </w:r>
          </w:p>
        </w:tc>
        <w:tc>
          <w:tcPr>
            <w:tcW w:w="1392" w:type="dxa"/>
            <w:tcBorders>
              <w:top w:val="single" w:sz="4" w:space="0" w:color="auto"/>
              <w:left w:val="single" w:sz="4" w:space="0" w:color="auto"/>
              <w:bottom w:val="single" w:sz="4" w:space="0" w:color="auto"/>
              <w:right w:val="single" w:sz="4" w:space="0" w:color="auto"/>
            </w:tcBorders>
            <w:vAlign w:val="center"/>
          </w:tcPr>
          <w:p w14:paraId="4E12632F" w14:textId="77777777" w:rsidR="00AA4AC8" w:rsidRDefault="0082369C">
            <w:pPr>
              <w:snapToGrid w:val="0"/>
              <w:rPr>
                <w:rFonts w:eastAsiaTheme="minorEastAsia"/>
              </w:rPr>
            </w:pPr>
            <w:r>
              <w:t>Option 1</w:t>
            </w:r>
          </w:p>
        </w:tc>
        <w:tc>
          <w:tcPr>
            <w:tcW w:w="1560" w:type="dxa"/>
            <w:tcBorders>
              <w:top w:val="single" w:sz="4" w:space="0" w:color="auto"/>
              <w:left w:val="single" w:sz="4" w:space="0" w:color="auto"/>
              <w:bottom w:val="single" w:sz="4" w:space="0" w:color="auto"/>
              <w:right w:val="single" w:sz="4" w:space="0" w:color="auto"/>
            </w:tcBorders>
          </w:tcPr>
          <w:p w14:paraId="3273D924" w14:textId="77777777" w:rsidR="00AA4AC8" w:rsidRDefault="00AA4AC8">
            <w:pPr>
              <w:snapToGrid w:val="0"/>
              <w:rPr>
                <w:rFonts w:eastAsiaTheme="minorEastAsia"/>
              </w:rPr>
            </w:pPr>
          </w:p>
        </w:tc>
        <w:tc>
          <w:tcPr>
            <w:tcW w:w="2625" w:type="dxa"/>
            <w:tcBorders>
              <w:top w:val="single" w:sz="4" w:space="0" w:color="auto"/>
              <w:left w:val="single" w:sz="4" w:space="0" w:color="auto"/>
              <w:bottom w:val="single" w:sz="4" w:space="0" w:color="auto"/>
              <w:right w:val="single" w:sz="4" w:space="0" w:color="auto"/>
            </w:tcBorders>
          </w:tcPr>
          <w:p w14:paraId="215E1678" w14:textId="77777777" w:rsidR="00AA4AC8" w:rsidRDefault="0082369C">
            <w:pPr>
              <w:snapToGrid w:val="0"/>
            </w:pPr>
            <w:r>
              <w:t>Option-2, 3, 4 and 6</w:t>
            </w:r>
          </w:p>
        </w:tc>
        <w:tc>
          <w:tcPr>
            <w:tcW w:w="3145" w:type="dxa"/>
            <w:tcBorders>
              <w:top w:val="single" w:sz="4" w:space="0" w:color="auto"/>
              <w:left w:val="single" w:sz="4" w:space="0" w:color="auto"/>
              <w:bottom w:val="single" w:sz="4" w:space="0" w:color="auto"/>
              <w:right w:val="single" w:sz="4" w:space="0" w:color="auto"/>
            </w:tcBorders>
          </w:tcPr>
          <w:p w14:paraId="3190ABA6" w14:textId="77777777" w:rsidR="00AA4AC8" w:rsidRDefault="0082369C">
            <w:pPr>
              <w:snapToGrid w:val="0"/>
            </w:pPr>
            <w:r>
              <w:rPr>
                <w:rFonts w:eastAsiaTheme="minorEastAsia"/>
              </w:rPr>
              <w:t>We think legacy mechanism works well and enhancements for Type-1 CB are not needed in NTN.</w:t>
            </w:r>
          </w:p>
        </w:tc>
      </w:tr>
      <w:tr w:rsidR="00AA4AC8" w14:paraId="690D1857"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5B66DE15" w14:textId="77777777" w:rsidR="00AA4AC8" w:rsidRDefault="0082369C">
            <w:pPr>
              <w:jc w:val="center"/>
              <w:rPr>
                <w:rFonts w:cs="Arial"/>
              </w:rPr>
            </w:pPr>
            <w:r>
              <w:rPr>
                <w:rFonts w:cs="Arial"/>
              </w:rPr>
              <w:t>NEC</w:t>
            </w:r>
          </w:p>
        </w:tc>
        <w:tc>
          <w:tcPr>
            <w:tcW w:w="1392" w:type="dxa"/>
            <w:tcBorders>
              <w:top w:val="single" w:sz="4" w:space="0" w:color="auto"/>
              <w:left w:val="single" w:sz="4" w:space="0" w:color="auto"/>
              <w:bottom w:val="single" w:sz="4" w:space="0" w:color="auto"/>
              <w:right w:val="single" w:sz="4" w:space="0" w:color="auto"/>
            </w:tcBorders>
            <w:vAlign w:val="center"/>
          </w:tcPr>
          <w:p w14:paraId="1462B91A" w14:textId="77777777" w:rsidR="00AA4AC8" w:rsidRDefault="0082369C">
            <w:pPr>
              <w:snapToGrid w:val="0"/>
            </w:pPr>
            <w:r>
              <w:t>Option 2</w:t>
            </w:r>
          </w:p>
        </w:tc>
        <w:tc>
          <w:tcPr>
            <w:tcW w:w="1560" w:type="dxa"/>
            <w:tcBorders>
              <w:top w:val="single" w:sz="4" w:space="0" w:color="auto"/>
              <w:left w:val="single" w:sz="4" w:space="0" w:color="auto"/>
              <w:bottom w:val="single" w:sz="4" w:space="0" w:color="auto"/>
              <w:right w:val="single" w:sz="4" w:space="0" w:color="auto"/>
            </w:tcBorders>
          </w:tcPr>
          <w:p w14:paraId="2A63DC62" w14:textId="77777777" w:rsidR="00AA4AC8" w:rsidRDefault="00AA4AC8">
            <w:pPr>
              <w:snapToGrid w:val="0"/>
              <w:rPr>
                <w:rFonts w:eastAsiaTheme="minorEastAsia"/>
              </w:rPr>
            </w:pPr>
          </w:p>
        </w:tc>
        <w:tc>
          <w:tcPr>
            <w:tcW w:w="2625" w:type="dxa"/>
            <w:tcBorders>
              <w:top w:val="single" w:sz="4" w:space="0" w:color="auto"/>
              <w:left w:val="single" w:sz="4" w:space="0" w:color="auto"/>
              <w:bottom w:val="single" w:sz="4" w:space="0" w:color="auto"/>
              <w:right w:val="single" w:sz="4" w:space="0" w:color="auto"/>
            </w:tcBorders>
          </w:tcPr>
          <w:p w14:paraId="540A6F72" w14:textId="77777777" w:rsidR="00AA4AC8" w:rsidRDefault="0082369C">
            <w:pPr>
              <w:snapToGrid w:val="0"/>
            </w:pPr>
            <w:r>
              <w:t>Option 1, 3, 5</w:t>
            </w:r>
          </w:p>
        </w:tc>
        <w:tc>
          <w:tcPr>
            <w:tcW w:w="3145" w:type="dxa"/>
            <w:tcBorders>
              <w:top w:val="single" w:sz="4" w:space="0" w:color="auto"/>
              <w:left w:val="single" w:sz="4" w:space="0" w:color="auto"/>
              <w:bottom w:val="single" w:sz="4" w:space="0" w:color="auto"/>
              <w:right w:val="single" w:sz="4" w:space="0" w:color="auto"/>
            </w:tcBorders>
          </w:tcPr>
          <w:p w14:paraId="2F624C12" w14:textId="77777777" w:rsidR="00AA4AC8" w:rsidRDefault="0082369C">
            <w:pPr>
              <w:snapToGrid w:val="0"/>
              <w:rPr>
                <w:rFonts w:eastAsiaTheme="minorEastAsia"/>
              </w:rPr>
            </w:pPr>
            <w:r>
              <w:rPr>
                <w:rFonts w:eastAsiaTheme="minorEastAsia"/>
              </w:rPr>
              <w:t>Reporting NACK-only can provide better decoding performance since some bits would be known by the gNB.</w:t>
            </w:r>
          </w:p>
        </w:tc>
      </w:tr>
      <w:tr w:rsidR="00AA4AC8" w14:paraId="01DFDED3"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366BBE96" w14:textId="77777777" w:rsidR="00AA4AC8" w:rsidRDefault="0082369C">
            <w:pPr>
              <w:jc w:val="center"/>
              <w:rPr>
                <w:rFonts w:cs="Arial"/>
              </w:rPr>
            </w:pPr>
            <w:r>
              <w:rPr>
                <w:rFonts w:eastAsia="MS Mincho" w:cs="Arial"/>
              </w:rPr>
              <w:t>Panasonic</w:t>
            </w:r>
          </w:p>
        </w:tc>
        <w:tc>
          <w:tcPr>
            <w:tcW w:w="1392" w:type="dxa"/>
            <w:tcBorders>
              <w:top w:val="single" w:sz="4" w:space="0" w:color="auto"/>
              <w:left w:val="single" w:sz="4" w:space="0" w:color="auto"/>
              <w:bottom w:val="single" w:sz="4" w:space="0" w:color="auto"/>
              <w:right w:val="single" w:sz="4" w:space="0" w:color="auto"/>
            </w:tcBorders>
            <w:vAlign w:val="center"/>
          </w:tcPr>
          <w:p w14:paraId="5E7B596E" w14:textId="77777777" w:rsidR="00AA4AC8" w:rsidRDefault="0082369C">
            <w:pPr>
              <w:snapToGrid w:val="0"/>
            </w:pPr>
            <w:r>
              <w:rPr>
                <w:rFonts w:eastAsia="MS Mincho"/>
              </w:rPr>
              <w:t>Option 1</w:t>
            </w:r>
          </w:p>
        </w:tc>
        <w:tc>
          <w:tcPr>
            <w:tcW w:w="1560" w:type="dxa"/>
            <w:tcBorders>
              <w:top w:val="single" w:sz="4" w:space="0" w:color="auto"/>
              <w:left w:val="single" w:sz="4" w:space="0" w:color="auto"/>
              <w:bottom w:val="single" w:sz="4" w:space="0" w:color="auto"/>
              <w:right w:val="single" w:sz="4" w:space="0" w:color="auto"/>
            </w:tcBorders>
          </w:tcPr>
          <w:p w14:paraId="3D22C21A" w14:textId="77777777" w:rsidR="00AA4AC8" w:rsidRDefault="0082369C">
            <w:pPr>
              <w:snapToGrid w:val="0"/>
              <w:rPr>
                <w:rFonts w:eastAsiaTheme="minorEastAsia"/>
              </w:rPr>
            </w:pPr>
            <w:r>
              <w:rPr>
                <w:rFonts w:eastAsia="MS Mincho"/>
              </w:rPr>
              <w:t>Option 3 or 5</w:t>
            </w:r>
          </w:p>
        </w:tc>
        <w:tc>
          <w:tcPr>
            <w:tcW w:w="2625" w:type="dxa"/>
            <w:tcBorders>
              <w:top w:val="single" w:sz="4" w:space="0" w:color="auto"/>
              <w:left w:val="single" w:sz="4" w:space="0" w:color="auto"/>
              <w:bottom w:val="single" w:sz="4" w:space="0" w:color="auto"/>
              <w:right w:val="single" w:sz="4" w:space="0" w:color="auto"/>
            </w:tcBorders>
          </w:tcPr>
          <w:p w14:paraId="797D43EC" w14:textId="77777777" w:rsidR="00AA4AC8" w:rsidRDefault="0082369C">
            <w:pPr>
              <w:snapToGrid w:val="0"/>
            </w:pPr>
            <w:r>
              <w:rPr>
                <w:rFonts w:eastAsia="MS Mincho"/>
              </w:rPr>
              <w:t xml:space="preserve">Option 2, 4 and 6 </w:t>
            </w:r>
          </w:p>
        </w:tc>
        <w:tc>
          <w:tcPr>
            <w:tcW w:w="3145" w:type="dxa"/>
            <w:tcBorders>
              <w:top w:val="single" w:sz="4" w:space="0" w:color="auto"/>
              <w:left w:val="single" w:sz="4" w:space="0" w:color="auto"/>
              <w:bottom w:val="single" w:sz="4" w:space="0" w:color="auto"/>
              <w:right w:val="single" w:sz="4" w:space="0" w:color="auto"/>
            </w:tcBorders>
          </w:tcPr>
          <w:p w14:paraId="55A3A4D3" w14:textId="77777777" w:rsidR="00AA4AC8" w:rsidRDefault="0082369C">
            <w:pPr>
              <w:snapToGrid w:val="0"/>
              <w:rPr>
                <w:rFonts w:eastAsia="MS Mincho"/>
              </w:rPr>
            </w:pPr>
            <w:r>
              <w:rPr>
                <w:rFonts w:eastAsia="MS Mincho"/>
              </w:rPr>
              <w:t xml:space="preserve">Reporting ACK/NACK would help gNB to obtain statistics on the actual error rate which is useful for link adaptation for feedback-disabled process. </w:t>
            </w:r>
          </w:p>
          <w:p w14:paraId="01F728AB" w14:textId="77777777" w:rsidR="00AA4AC8" w:rsidRDefault="0082369C">
            <w:pPr>
              <w:snapToGrid w:val="0"/>
              <w:rPr>
                <w:rFonts w:eastAsiaTheme="minorEastAsia"/>
              </w:rPr>
            </w:pPr>
            <w:r>
              <w:rPr>
                <w:rFonts w:eastAsia="MS Mincho"/>
              </w:rPr>
              <w:t xml:space="preserve">We prefer the same behavior regardless of DCI content (HARQ disabled or enabled) and multiplexing content of UCI. </w:t>
            </w:r>
          </w:p>
        </w:tc>
      </w:tr>
      <w:tr w:rsidR="00AA4AC8" w14:paraId="6C97C515"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0473E8B3" w14:textId="77777777" w:rsidR="00AA4AC8" w:rsidRDefault="0082369C">
            <w:pPr>
              <w:jc w:val="center"/>
              <w:rPr>
                <w:rFonts w:cs="Arial"/>
              </w:rPr>
            </w:pPr>
            <w:r>
              <w:rPr>
                <w:rFonts w:eastAsiaTheme="minorEastAsia" w:cs="Arial" w:hint="eastAsia"/>
              </w:rPr>
              <w:t>C</w:t>
            </w:r>
            <w:r>
              <w:rPr>
                <w:rFonts w:eastAsiaTheme="minorEastAsia" w:cs="Arial"/>
              </w:rPr>
              <w:t>MCC</w:t>
            </w:r>
          </w:p>
        </w:tc>
        <w:tc>
          <w:tcPr>
            <w:tcW w:w="1392" w:type="dxa"/>
            <w:tcBorders>
              <w:top w:val="single" w:sz="4" w:space="0" w:color="auto"/>
              <w:left w:val="single" w:sz="4" w:space="0" w:color="auto"/>
              <w:bottom w:val="single" w:sz="4" w:space="0" w:color="auto"/>
              <w:right w:val="single" w:sz="4" w:space="0" w:color="auto"/>
            </w:tcBorders>
            <w:vAlign w:val="center"/>
          </w:tcPr>
          <w:p w14:paraId="6DB2CD4C" w14:textId="77777777" w:rsidR="00AA4AC8" w:rsidRDefault="0082369C">
            <w:pPr>
              <w:snapToGrid w:val="0"/>
            </w:pPr>
            <w:r>
              <w:rPr>
                <w:rFonts w:eastAsiaTheme="minorEastAsia" w:hint="eastAsia"/>
              </w:rPr>
              <w:t>O</w:t>
            </w:r>
            <w:r>
              <w:rPr>
                <w:rFonts w:eastAsiaTheme="minorEastAsia"/>
              </w:rPr>
              <w:t>ption 5 or 3</w:t>
            </w:r>
          </w:p>
        </w:tc>
        <w:tc>
          <w:tcPr>
            <w:tcW w:w="1560" w:type="dxa"/>
            <w:tcBorders>
              <w:top w:val="single" w:sz="4" w:space="0" w:color="auto"/>
              <w:left w:val="single" w:sz="4" w:space="0" w:color="auto"/>
              <w:bottom w:val="single" w:sz="4" w:space="0" w:color="auto"/>
              <w:right w:val="single" w:sz="4" w:space="0" w:color="auto"/>
            </w:tcBorders>
          </w:tcPr>
          <w:p w14:paraId="7F7AD09C" w14:textId="77777777" w:rsidR="00AA4AC8" w:rsidRDefault="00AA4AC8">
            <w:pPr>
              <w:snapToGrid w:val="0"/>
              <w:rPr>
                <w:rFonts w:eastAsiaTheme="minorEastAsia"/>
              </w:rPr>
            </w:pPr>
          </w:p>
        </w:tc>
        <w:tc>
          <w:tcPr>
            <w:tcW w:w="2625" w:type="dxa"/>
            <w:tcBorders>
              <w:top w:val="single" w:sz="4" w:space="0" w:color="auto"/>
              <w:left w:val="single" w:sz="4" w:space="0" w:color="auto"/>
              <w:bottom w:val="single" w:sz="4" w:space="0" w:color="auto"/>
              <w:right w:val="single" w:sz="4" w:space="0" w:color="auto"/>
            </w:tcBorders>
          </w:tcPr>
          <w:p w14:paraId="25A1E856" w14:textId="77777777" w:rsidR="00AA4AC8" w:rsidRDefault="00AA4AC8">
            <w:pPr>
              <w:snapToGrid w:val="0"/>
            </w:pPr>
          </w:p>
        </w:tc>
        <w:tc>
          <w:tcPr>
            <w:tcW w:w="3145" w:type="dxa"/>
            <w:tcBorders>
              <w:top w:val="single" w:sz="4" w:space="0" w:color="auto"/>
              <w:left w:val="single" w:sz="4" w:space="0" w:color="auto"/>
              <w:bottom w:val="single" w:sz="4" w:space="0" w:color="auto"/>
              <w:right w:val="single" w:sz="4" w:space="0" w:color="auto"/>
            </w:tcBorders>
          </w:tcPr>
          <w:p w14:paraId="4F5AE1DD" w14:textId="77777777" w:rsidR="00AA4AC8" w:rsidRDefault="00AA4AC8">
            <w:pPr>
              <w:snapToGrid w:val="0"/>
              <w:rPr>
                <w:rFonts w:eastAsiaTheme="minorEastAsia"/>
              </w:rPr>
            </w:pPr>
          </w:p>
        </w:tc>
      </w:tr>
      <w:tr w:rsidR="00AA4AC8" w14:paraId="125287B8"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1570A2C1" w14:textId="77777777" w:rsidR="00AA4AC8" w:rsidRDefault="0082369C">
            <w:pPr>
              <w:jc w:val="center"/>
              <w:rPr>
                <w:rFonts w:eastAsiaTheme="minorEastAsia" w:cs="Arial"/>
              </w:rPr>
            </w:pPr>
            <w:r>
              <w:rPr>
                <w:rFonts w:eastAsiaTheme="minorEastAsia" w:cs="Arial"/>
              </w:rPr>
              <w:t>Samsung</w:t>
            </w:r>
          </w:p>
        </w:tc>
        <w:tc>
          <w:tcPr>
            <w:tcW w:w="1392" w:type="dxa"/>
            <w:tcBorders>
              <w:top w:val="single" w:sz="4" w:space="0" w:color="auto"/>
              <w:left w:val="single" w:sz="4" w:space="0" w:color="auto"/>
              <w:bottom w:val="single" w:sz="4" w:space="0" w:color="auto"/>
              <w:right w:val="single" w:sz="4" w:space="0" w:color="auto"/>
            </w:tcBorders>
            <w:vAlign w:val="center"/>
          </w:tcPr>
          <w:p w14:paraId="1D207DCA" w14:textId="77777777" w:rsidR="00AA4AC8" w:rsidRDefault="0082369C">
            <w:pPr>
              <w:snapToGrid w:val="0"/>
              <w:rPr>
                <w:rFonts w:eastAsiaTheme="minorEastAsia"/>
              </w:rPr>
            </w:pPr>
            <w:r>
              <w:rPr>
                <w:rFonts w:eastAsiaTheme="minorEastAsia"/>
              </w:rPr>
              <w:t>Option 2</w:t>
            </w:r>
          </w:p>
        </w:tc>
        <w:tc>
          <w:tcPr>
            <w:tcW w:w="1560" w:type="dxa"/>
            <w:tcBorders>
              <w:top w:val="single" w:sz="4" w:space="0" w:color="auto"/>
              <w:left w:val="single" w:sz="4" w:space="0" w:color="auto"/>
              <w:bottom w:val="single" w:sz="4" w:space="0" w:color="auto"/>
              <w:right w:val="single" w:sz="4" w:space="0" w:color="auto"/>
            </w:tcBorders>
          </w:tcPr>
          <w:p w14:paraId="0286604A" w14:textId="77777777" w:rsidR="00AA4AC8" w:rsidRDefault="0082369C">
            <w:pPr>
              <w:snapToGrid w:val="0"/>
              <w:rPr>
                <w:rFonts w:eastAsiaTheme="minorEastAsia"/>
              </w:rPr>
            </w:pPr>
            <w:r>
              <w:rPr>
                <w:rFonts w:eastAsiaTheme="minorEastAsia"/>
              </w:rPr>
              <w:t>Option 6</w:t>
            </w:r>
          </w:p>
        </w:tc>
        <w:tc>
          <w:tcPr>
            <w:tcW w:w="2625" w:type="dxa"/>
            <w:tcBorders>
              <w:top w:val="single" w:sz="4" w:space="0" w:color="auto"/>
              <w:left w:val="single" w:sz="4" w:space="0" w:color="auto"/>
              <w:bottom w:val="single" w:sz="4" w:space="0" w:color="auto"/>
              <w:right w:val="single" w:sz="4" w:space="0" w:color="auto"/>
            </w:tcBorders>
          </w:tcPr>
          <w:p w14:paraId="7828A94E" w14:textId="77777777" w:rsidR="00AA4AC8" w:rsidRDefault="0082369C">
            <w:pPr>
              <w:snapToGrid w:val="0"/>
            </w:pPr>
            <w:r>
              <w:t>All others</w:t>
            </w:r>
          </w:p>
        </w:tc>
        <w:tc>
          <w:tcPr>
            <w:tcW w:w="3145" w:type="dxa"/>
            <w:tcBorders>
              <w:top w:val="single" w:sz="4" w:space="0" w:color="auto"/>
              <w:left w:val="single" w:sz="4" w:space="0" w:color="auto"/>
              <w:bottom w:val="single" w:sz="4" w:space="0" w:color="auto"/>
              <w:right w:val="single" w:sz="4" w:space="0" w:color="auto"/>
            </w:tcBorders>
          </w:tcPr>
          <w:p w14:paraId="4AF41EE8" w14:textId="77777777" w:rsidR="00AA4AC8" w:rsidRDefault="0082369C">
            <w:pPr>
              <w:snapToGrid w:val="0"/>
              <w:rPr>
                <w:rFonts w:eastAsiaTheme="minorEastAsia"/>
              </w:rPr>
            </w:pPr>
            <w:r>
              <w:rPr>
                <w:rFonts w:eastAsiaTheme="minorEastAsia"/>
              </w:rPr>
              <w:t xml:space="preserve">A gNB has no reason to configure HARQ disabling if UE is to report ACK/NACK (the configuration is meaningless). ACK/NACK report is </w:t>
            </w:r>
            <w:r>
              <w:rPr>
                <w:rFonts w:eastAsiaTheme="minorEastAsia"/>
              </w:rPr>
              <w:lastRenderedPageBreak/>
              <w:t xml:space="preserve">against a reason for HARQ-ACK disabling (UE buffer management). </w:t>
            </w:r>
          </w:p>
        </w:tc>
      </w:tr>
      <w:tr w:rsidR="00AA4AC8" w14:paraId="19F18D04"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032D64BB" w14:textId="77777777" w:rsidR="00AA4AC8" w:rsidRDefault="0082369C">
            <w:pPr>
              <w:jc w:val="center"/>
              <w:rPr>
                <w:rFonts w:eastAsiaTheme="minorEastAsia" w:cs="Arial"/>
              </w:rPr>
            </w:pPr>
            <w:r>
              <w:rPr>
                <w:rFonts w:eastAsiaTheme="minorEastAsia" w:cs="Arial" w:hint="eastAsia"/>
              </w:rPr>
              <w:lastRenderedPageBreak/>
              <w:t>Z</w:t>
            </w:r>
            <w:r>
              <w:rPr>
                <w:rFonts w:eastAsiaTheme="minorEastAsia" w:cs="Arial"/>
              </w:rPr>
              <w:t>TE</w:t>
            </w:r>
          </w:p>
        </w:tc>
        <w:tc>
          <w:tcPr>
            <w:tcW w:w="1392" w:type="dxa"/>
            <w:tcBorders>
              <w:top w:val="single" w:sz="4" w:space="0" w:color="auto"/>
              <w:left w:val="single" w:sz="4" w:space="0" w:color="auto"/>
              <w:bottom w:val="single" w:sz="4" w:space="0" w:color="auto"/>
              <w:right w:val="single" w:sz="4" w:space="0" w:color="auto"/>
            </w:tcBorders>
            <w:vAlign w:val="center"/>
          </w:tcPr>
          <w:p w14:paraId="7F7E06F6" w14:textId="77777777" w:rsidR="00AA4AC8" w:rsidRDefault="0082369C">
            <w:pPr>
              <w:snapToGrid w:val="0"/>
              <w:rPr>
                <w:rFonts w:eastAsiaTheme="minorEastAsia"/>
              </w:rPr>
            </w:pPr>
            <w:r>
              <w:rPr>
                <w:rFonts w:eastAsiaTheme="minorEastAsia" w:hint="eastAsia"/>
              </w:rPr>
              <w:t>O</w:t>
            </w:r>
            <w:r>
              <w:rPr>
                <w:rFonts w:eastAsiaTheme="minorEastAsia"/>
              </w:rPr>
              <w:t>ption-4</w:t>
            </w:r>
          </w:p>
        </w:tc>
        <w:tc>
          <w:tcPr>
            <w:tcW w:w="1560" w:type="dxa"/>
            <w:tcBorders>
              <w:top w:val="single" w:sz="4" w:space="0" w:color="auto"/>
              <w:left w:val="single" w:sz="4" w:space="0" w:color="auto"/>
              <w:bottom w:val="single" w:sz="4" w:space="0" w:color="auto"/>
              <w:right w:val="single" w:sz="4" w:space="0" w:color="auto"/>
            </w:tcBorders>
          </w:tcPr>
          <w:p w14:paraId="20DE11F1" w14:textId="77777777" w:rsidR="00AA4AC8" w:rsidRDefault="0082369C">
            <w:pPr>
              <w:snapToGrid w:val="0"/>
              <w:rPr>
                <w:rFonts w:eastAsiaTheme="minorEastAsia"/>
              </w:rPr>
            </w:pPr>
            <w:r>
              <w:rPr>
                <w:rFonts w:eastAsiaTheme="minorEastAsia" w:hint="eastAsia"/>
              </w:rPr>
              <w:t>O</w:t>
            </w:r>
            <w:r>
              <w:rPr>
                <w:rFonts w:eastAsiaTheme="minorEastAsia"/>
              </w:rPr>
              <w:t>ption-2</w:t>
            </w:r>
          </w:p>
        </w:tc>
        <w:tc>
          <w:tcPr>
            <w:tcW w:w="2625" w:type="dxa"/>
            <w:tcBorders>
              <w:top w:val="single" w:sz="4" w:space="0" w:color="auto"/>
              <w:left w:val="single" w:sz="4" w:space="0" w:color="auto"/>
              <w:bottom w:val="single" w:sz="4" w:space="0" w:color="auto"/>
              <w:right w:val="single" w:sz="4" w:space="0" w:color="auto"/>
            </w:tcBorders>
          </w:tcPr>
          <w:p w14:paraId="02631DCD" w14:textId="77777777" w:rsidR="00AA4AC8" w:rsidRDefault="0082369C">
            <w:pPr>
              <w:snapToGrid w:val="0"/>
              <w:rPr>
                <w:rFonts w:eastAsiaTheme="minorEastAsia"/>
              </w:rPr>
            </w:pPr>
            <w:r>
              <w:rPr>
                <w:rFonts w:eastAsiaTheme="minorEastAsia" w:hint="eastAsia"/>
              </w:rPr>
              <w:t>A</w:t>
            </w:r>
            <w:r>
              <w:rPr>
                <w:rFonts w:eastAsiaTheme="minorEastAsia"/>
              </w:rPr>
              <w:t>ll others</w:t>
            </w:r>
          </w:p>
        </w:tc>
        <w:tc>
          <w:tcPr>
            <w:tcW w:w="3145" w:type="dxa"/>
            <w:tcBorders>
              <w:top w:val="single" w:sz="4" w:space="0" w:color="auto"/>
              <w:left w:val="single" w:sz="4" w:space="0" w:color="auto"/>
              <w:bottom w:val="single" w:sz="4" w:space="0" w:color="auto"/>
              <w:right w:val="single" w:sz="4" w:space="0" w:color="auto"/>
            </w:tcBorders>
          </w:tcPr>
          <w:p w14:paraId="2F7AED62" w14:textId="77777777" w:rsidR="00AA4AC8" w:rsidRDefault="00AA4AC8">
            <w:pPr>
              <w:snapToGrid w:val="0"/>
              <w:rPr>
                <w:rFonts w:eastAsiaTheme="minorEastAsia"/>
              </w:rPr>
            </w:pPr>
          </w:p>
        </w:tc>
      </w:tr>
      <w:tr w:rsidR="00AA4AC8" w14:paraId="4A904562"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62BB96B6" w14:textId="77777777" w:rsidR="00AA4AC8" w:rsidRDefault="0082369C">
            <w:pPr>
              <w:jc w:val="center"/>
              <w:rPr>
                <w:rFonts w:eastAsiaTheme="minorEastAsia" w:cs="Arial"/>
              </w:rPr>
            </w:pPr>
            <w:r>
              <w:rPr>
                <w:rFonts w:eastAsiaTheme="minorEastAsia" w:cs="Arial"/>
              </w:rPr>
              <w:t>CAICT</w:t>
            </w:r>
          </w:p>
        </w:tc>
        <w:tc>
          <w:tcPr>
            <w:tcW w:w="1392" w:type="dxa"/>
            <w:tcBorders>
              <w:top w:val="single" w:sz="4" w:space="0" w:color="auto"/>
              <w:left w:val="single" w:sz="4" w:space="0" w:color="auto"/>
              <w:bottom w:val="single" w:sz="4" w:space="0" w:color="auto"/>
              <w:right w:val="single" w:sz="4" w:space="0" w:color="auto"/>
            </w:tcBorders>
            <w:vAlign w:val="center"/>
          </w:tcPr>
          <w:p w14:paraId="5191B02A" w14:textId="77777777" w:rsidR="00AA4AC8" w:rsidRDefault="0082369C">
            <w:pPr>
              <w:snapToGrid w:val="0"/>
              <w:rPr>
                <w:rFonts w:eastAsiaTheme="minorEastAsia"/>
              </w:rPr>
            </w:pPr>
            <w:r>
              <w:rPr>
                <w:rFonts w:eastAsiaTheme="minorEastAsia" w:hint="eastAsia"/>
              </w:rPr>
              <w:t>Option</w:t>
            </w:r>
            <w:r>
              <w:rPr>
                <w:rFonts w:eastAsiaTheme="minorEastAsia"/>
              </w:rPr>
              <w:t xml:space="preserve"> 3 or 5</w:t>
            </w:r>
          </w:p>
        </w:tc>
        <w:tc>
          <w:tcPr>
            <w:tcW w:w="1560" w:type="dxa"/>
            <w:tcBorders>
              <w:top w:val="single" w:sz="4" w:space="0" w:color="auto"/>
              <w:left w:val="single" w:sz="4" w:space="0" w:color="auto"/>
              <w:bottom w:val="single" w:sz="4" w:space="0" w:color="auto"/>
              <w:right w:val="single" w:sz="4" w:space="0" w:color="auto"/>
            </w:tcBorders>
          </w:tcPr>
          <w:p w14:paraId="5D201240" w14:textId="77777777" w:rsidR="00AA4AC8" w:rsidRDefault="00AA4AC8">
            <w:pPr>
              <w:snapToGrid w:val="0"/>
              <w:jc w:val="center"/>
              <w:rPr>
                <w:rFonts w:eastAsiaTheme="minorEastAsia"/>
              </w:rPr>
            </w:pPr>
          </w:p>
        </w:tc>
        <w:tc>
          <w:tcPr>
            <w:tcW w:w="2625" w:type="dxa"/>
            <w:tcBorders>
              <w:top w:val="single" w:sz="4" w:space="0" w:color="auto"/>
              <w:left w:val="single" w:sz="4" w:space="0" w:color="auto"/>
              <w:bottom w:val="single" w:sz="4" w:space="0" w:color="auto"/>
              <w:right w:val="single" w:sz="4" w:space="0" w:color="auto"/>
            </w:tcBorders>
          </w:tcPr>
          <w:p w14:paraId="3268F6AB" w14:textId="77777777" w:rsidR="00AA4AC8" w:rsidRDefault="00AA4AC8">
            <w:pPr>
              <w:snapToGrid w:val="0"/>
              <w:jc w:val="center"/>
              <w:rPr>
                <w:rFonts w:eastAsiaTheme="minorEastAsia"/>
              </w:rPr>
            </w:pPr>
          </w:p>
        </w:tc>
        <w:tc>
          <w:tcPr>
            <w:tcW w:w="3145" w:type="dxa"/>
            <w:tcBorders>
              <w:top w:val="single" w:sz="4" w:space="0" w:color="auto"/>
              <w:left w:val="single" w:sz="4" w:space="0" w:color="auto"/>
              <w:bottom w:val="single" w:sz="4" w:space="0" w:color="auto"/>
              <w:right w:val="single" w:sz="4" w:space="0" w:color="auto"/>
            </w:tcBorders>
          </w:tcPr>
          <w:p w14:paraId="7FCBDAA7" w14:textId="77777777" w:rsidR="00AA4AC8" w:rsidRDefault="00AA4AC8">
            <w:pPr>
              <w:snapToGrid w:val="0"/>
              <w:jc w:val="center"/>
              <w:rPr>
                <w:rFonts w:eastAsiaTheme="minorEastAsia"/>
              </w:rPr>
            </w:pPr>
          </w:p>
        </w:tc>
      </w:tr>
      <w:tr w:rsidR="00AA4AC8" w14:paraId="3D4EA5A1"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1BC29F3D" w14:textId="77777777" w:rsidR="00AA4AC8" w:rsidRDefault="0082369C">
            <w:pPr>
              <w:jc w:val="center"/>
              <w:rPr>
                <w:rFonts w:eastAsiaTheme="minorEastAsia" w:cs="Arial"/>
              </w:rPr>
            </w:pPr>
            <w:r>
              <w:rPr>
                <w:rFonts w:eastAsiaTheme="minorEastAsia" w:cs="Arial"/>
              </w:rPr>
              <w:t>LG Electronics</w:t>
            </w:r>
          </w:p>
        </w:tc>
        <w:tc>
          <w:tcPr>
            <w:tcW w:w="1392" w:type="dxa"/>
            <w:tcBorders>
              <w:top w:val="single" w:sz="4" w:space="0" w:color="auto"/>
              <w:left w:val="single" w:sz="4" w:space="0" w:color="auto"/>
              <w:bottom w:val="single" w:sz="4" w:space="0" w:color="auto"/>
              <w:right w:val="single" w:sz="4" w:space="0" w:color="auto"/>
            </w:tcBorders>
            <w:vAlign w:val="center"/>
          </w:tcPr>
          <w:p w14:paraId="1463AA73" w14:textId="77777777" w:rsidR="00AA4AC8" w:rsidRDefault="0082369C">
            <w:pPr>
              <w:snapToGrid w:val="0"/>
              <w:rPr>
                <w:rFonts w:eastAsiaTheme="minorEastAsia"/>
              </w:rPr>
            </w:pPr>
            <w:r>
              <w:rPr>
                <w:rFonts w:eastAsiaTheme="minorEastAsia" w:hint="eastAsia"/>
              </w:rPr>
              <w:t>Option 3</w:t>
            </w:r>
          </w:p>
        </w:tc>
        <w:tc>
          <w:tcPr>
            <w:tcW w:w="1560" w:type="dxa"/>
            <w:tcBorders>
              <w:top w:val="single" w:sz="4" w:space="0" w:color="auto"/>
              <w:left w:val="single" w:sz="4" w:space="0" w:color="auto"/>
              <w:bottom w:val="single" w:sz="4" w:space="0" w:color="auto"/>
              <w:right w:val="single" w:sz="4" w:space="0" w:color="auto"/>
            </w:tcBorders>
          </w:tcPr>
          <w:p w14:paraId="4E8EB599" w14:textId="77777777" w:rsidR="00AA4AC8" w:rsidRDefault="00AA4AC8">
            <w:pPr>
              <w:snapToGrid w:val="0"/>
              <w:jc w:val="center"/>
              <w:rPr>
                <w:rFonts w:eastAsiaTheme="minorEastAsia"/>
              </w:rPr>
            </w:pPr>
          </w:p>
        </w:tc>
        <w:tc>
          <w:tcPr>
            <w:tcW w:w="2625" w:type="dxa"/>
            <w:tcBorders>
              <w:top w:val="single" w:sz="4" w:space="0" w:color="auto"/>
              <w:left w:val="single" w:sz="4" w:space="0" w:color="auto"/>
              <w:bottom w:val="single" w:sz="4" w:space="0" w:color="auto"/>
              <w:right w:val="single" w:sz="4" w:space="0" w:color="auto"/>
            </w:tcBorders>
          </w:tcPr>
          <w:p w14:paraId="53D994C9" w14:textId="77777777" w:rsidR="00AA4AC8" w:rsidRDefault="00AA4AC8">
            <w:pPr>
              <w:snapToGrid w:val="0"/>
              <w:jc w:val="center"/>
              <w:rPr>
                <w:rFonts w:eastAsiaTheme="minorEastAsia"/>
              </w:rPr>
            </w:pPr>
          </w:p>
        </w:tc>
        <w:tc>
          <w:tcPr>
            <w:tcW w:w="3145" w:type="dxa"/>
            <w:tcBorders>
              <w:top w:val="single" w:sz="4" w:space="0" w:color="auto"/>
              <w:left w:val="single" w:sz="4" w:space="0" w:color="auto"/>
              <w:bottom w:val="single" w:sz="4" w:space="0" w:color="auto"/>
              <w:right w:val="single" w:sz="4" w:space="0" w:color="auto"/>
            </w:tcBorders>
          </w:tcPr>
          <w:p w14:paraId="5D2DB391" w14:textId="77777777" w:rsidR="00AA4AC8" w:rsidRDefault="00AA4AC8">
            <w:pPr>
              <w:snapToGrid w:val="0"/>
              <w:jc w:val="center"/>
              <w:rPr>
                <w:rFonts w:eastAsiaTheme="minorEastAsia"/>
              </w:rPr>
            </w:pPr>
          </w:p>
        </w:tc>
      </w:tr>
      <w:tr w:rsidR="00AA4AC8" w14:paraId="6A60CCFC"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0D34F72B" w14:textId="77777777" w:rsidR="00AA4AC8" w:rsidRDefault="0082369C">
            <w:pPr>
              <w:jc w:val="center"/>
              <w:rPr>
                <w:rFonts w:eastAsiaTheme="minorEastAsia" w:cs="Arial"/>
              </w:rPr>
            </w:pPr>
            <w:r>
              <w:rPr>
                <w:rFonts w:cs="Arial"/>
              </w:rPr>
              <w:t>Huawei, HiSilicon</w:t>
            </w:r>
          </w:p>
        </w:tc>
        <w:tc>
          <w:tcPr>
            <w:tcW w:w="1392" w:type="dxa"/>
            <w:tcBorders>
              <w:top w:val="single" w:sz="4" w:space="0" w:color="auto"/>
              <w:left w:val="single" w:sz="4" w:space="0" w:color="auto"/>
              <w:bottom w:val="single" w:sz="4" w:space="0" w:color="auto"/>
              <w:right w:val="single" w:sz="4" w:space="0" w:color="auto"/>
            </w:tcBorders>
            <w:vAlign w:val="center"/>
          </w:tcPr>
          <w:p w14:paraId="43FAF2C1" w14:textId="77777777" w:rsidR="00AA4AC8" w:rsidRDefault="0082369C">
            <w:pPr>
              <w:snapToGrid w:val="0"/>
              <w:rPr>
                <w:rFonts w:eastAsiaTheme="minorEastAsia"/>
              </w:rPr>
            </w:pPr>
            <w:r>
              <w:t>Option 2</w:t>
            </w:r>
          </w:p>
        </w:tc>
        <w:tc>
          <w:tcPr>
            <w:tcW w:w="1560" w:type="dxa"/>
            <w:tcBorders>
              <w:top w:val="single" w:sz="4" w:space="0" w:color="auto"/>
              <w:left w:val="single" w:sz="4" w:space="0" w:color="auto"/>
              <w:bottom w:val="single" w:sz="4" w:space="0" w:color="auto"/>
              <w:right w:val="single" w:sz="4" w:space="0" w:color="auto"/>
            </w:tcBorders>
          </w:tcPr>
          <w:p w14:paraId="0D3FB08E" w14:textId="77777777" w:rsidR="00AA4AC8" w:rsidRDefault="00AA4AC8">
            <w:pPr>
              <w:snapToGrid w:val="0"/>
              <w:jc w:val="center"/>
              <w:rPr>
                <w:rFonts w:eastAsiaTheme="minorEastAsia"/>
              </w:rPr>
            </w:pPr>
          </w:p>
        </w:tc>
        <w:tc>
          <w:tcPr>
            <w:tcW w:w="2625" w:type="dxa"/>
            <w:tcBorders>
              <w:top w:val="single" w:sz="4" w:space="0" w:color="auto"/>
              <w:left w:val="single" w:sz="4" w:space="0" w:color="auto"/>
              <w:bottom w:val="single" w:sz="4" w:space="0" w:color="auto"/>
              <w:right w:val="single" w:sz="4" w:space="0" w:color="auto"/>
            </w:tcBorders>
          </w:tcPr>
          <w:p w14:paraId="5F64F447" w14:textId="77777777" w:rsidR="00AA4AC8" w:rsidRDefault="0082369C">
            <w:pPr>
              <w:snapToGrid w:val="0"/>
              <w:jc w:val="center"/>
              <w:rPr>
                <w:rFonts w:eastAsiaTheme="minorEastAsia"/>
              </w:rPr>
            </w:pPr>
            <w:r>
              <w:t>Options 1, 3 and 5</w:t>
            </w:r>
          </w:p>
        </w:tc>
        <w:tc>
          <w:tcPr>
            <w:tcW w:w="3145" w:type="dxa"/>
            <w:tcBorders>
              <w:top w:val="single" w:sz="4" w:space="0" w:color="auto"/>
              <w:left w:val="single" w:sz="4" w:space="0" w:color="auto"/>
              <w:bottom w:val="single" w:sz="4" w:space="0" w:color="auto"/>
              <w:right w:val="single" w:sz="4" w:space="0" w:color="auto"/>
            </w:tcBorders>
          </w:tcPr>
          <w:p w14:paraId="3EFC2694" w14:textId="77777777" w:rsidR="00AA4AC8" w:rsidRDefault="00AA4AC8">
            <w:pPr>
              <w:snapToGrid w:val="0"/>
              <w:jc w:val="center"/>
              <w:rPr>
                <w:rFonts w:eastAsiaTheme="minorEastAsia"/>
              </w:rPr>
            </w:pPr>
          </w:p>
        </w:tc>
      </w:tr>
      <w:tr w:rsidR="00AA4AC8" w14:paraId="0D9CF1FE"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1EA4DBDB" w14:textId="77777777" w:rsidR="00AA4AC8" w:rsidRDefault="0082369C">
            <w:pPr>
              <w:jc w:val="center"/>
              <w:rPr>
                <w:rFonts w:eastAsiaTheme="minorEastAsia" w:cs="Arial"/>
                <w:lang w:val="en-US"/>
              </w:rPr>
            </w:pPr>
            <w:r>
              <w:rPr>
                <w:rFonts w:eastAsiaTheme="minorEastAsia" w:cs="Arial" w:hint="eastAsia"/>
                <w:lang w:val="en-US"/>
              </w:rPr>
              <w:t>Baicells</w:t>
            </w:r>
          </w:p>
        </w:tc>
        <w:tc>
          <w:tcPr>
            <w:tcW w:w="1392" w:type="dxa"/>
            <w:tcBorders>
              <w:top w:val="single" w:sz="4" w:space="0" w:color="auto"/>
              <w:left w:val="single" w:sz="4" w:space="0" w:color="auto"/>
              <w:bottom w:val="single" w:sz="4" w:space="0" w:color="auto"/>
              <w:right w:val="single" w:sz="4" w:space="0" w:color="auto"/>
            </w:tcBorders>
            <w:vAlign w:val="center"/>
          </w:tcPr>
          <w:p w14:paraId="35932126" w14:textId="77777777" w:rsidR="00AA4AC8" w:rsidRDefault="0082369C">
            <w:pPr>
              <w:snapToGrid w:val="0"/>
              <w:rPr>
                <w:rFonts w:eastAsiaTheme="minorEastAsia"/>
              </w:rPr>
            </w:pPr>
            <w:r>
              <w:rPr>
                <w:rFonts w:eastAsia="MS Mincho"/>
              </w:rPr>
              <w:t>Option 1</w:t>
            </w:r>
          </w:p>
        </w:tc>
        <w:tc>
          <w:tcPr>
            <w:tcW w:w="1560" w:type="dxa"/>
            <w:tcBorders>
              <w:top w:val="single" w:sz="4" w:space="0" w:color="auto"/>
              <w:left w:val="single" w:sz="4" w:space="0" w:color="auto"/>
              <w:bottom w:val="single" w:sz="4" w:space="0" w:color="auto"/>
              <w:right w:val="single" w:sz="4" w:space="0" w:color="auto"/>
            </w:tcBorders>
            <w:vAlign w:val="center"/>
          </w:tcPr>
          <w:p w14:paraId="686B784F" w14:textId="77777777" w:rsidR="00AA4AC8" w:rsidRDefault="0082369C">
            <w:pPr>
              <w:snapToGrid w:val="0"/>
              <w:jc w:val="both"/>
              <w:rPr>
                <w:rFonts w:eastAsia="MS Mincho"/>
              </w:rPr>
            </w:pPr>
            <w:r>
              <w:rPr>
                <w:rFonts w:eastAsia="MS Mincho" w:hint="eastAsia"/>
              </w:rPr>
              <w:t>O</w:t>
            </w:r>
            <w:r>
              <w:rPr>
                <w:rFonts w:eastAsia="MS Mincho"/>
              </w:rPr>
              <w:t>ption-3</w:t>
            </w:r>
          </w:p>
        </w:tc>
        <w:tc>
          <w:tcPr>
            <w:tcW w:w="2625" w:type="dxa"/>
            <w:tcBorders>
              <w:top w:val="single" w:sz="4" w:space="0" w:color="auto"/>
              <w:left w:val="single" w:sz="4" w:space="0" w:color="auto"/>
              <w:bottom w:val="single" w:sz="4" w:space="0" w:color="auto"/>
              <w:right w:val="single" w:sz="4" w:space="0" w:color="auto"/>
            </w:tcBorders>
            <w:vAlign w:val="center"/>
          </w:tcPr>
          <w:p w14:paraId="7DF34FCE" w14:textId="77777777" w:rsidR="00AA4AC8" w:rsidRDefault="0082369C">
            <w:pPr>
              <w:snapToGrid w:val="0"/>
              <w:jc w:val="both"/>
              <w:rPr>
                <w:rFonts w:eastAsia="MS Mincho"/>
              </w:rPr>
            </w:pPr>
            <w:r>
              <w:t>All others</w:t>
            </w:r>
          </w:p>
        </w:tc>
        <w:tc>
          <w:tcPr>
            <w:tcW w:w="3145" w:type="dxa"/>
            <w:tcBorders>
              <w:top w:val="single" w:sz="4" w:space="0" w:color="auto"/>
              <w:left w:val="single" w:sz="4" w:space="0" w:color="auto"/>
              <w:bottom w:val="single" w:sz="4" w:space="0" w:color="auto"/>
              <w:right w:val="single" w:sz="4" w:space="0" w:color="auto"/>
            </w:tcBorders>
          </w:tcPr>
          <w:p w14:paraId="7A497B42" w14:textId="77777777" w:rsidR="00AA4AC8" w:rsidRDefault="0082369C">
            <w:pPr>
              <w:numPr>
                <w:ilvl w:val="0"/>
                <w:numId w:val="17"/>
              </w:numPr>
              <w:snapToGrid w:val="0"/>
              <w:rPr>
                <w:rFonts w:eastAsiaTheme="minorEastAsia"/>
              </w:rPr>
            </w:pPr>
            <w:r>
              <w:rPr>
                <w:rFonts w:eastAsia="宋体" w:hint="eastAsia"/>
                <w:lang w:val="en-US"/>
              </w:rPr>
              <w:t>Still we do not see solid evidence (e.g. simulation results) on the performance gain  in decoding by s</w:t>
            </w:r>
            <w:r>
              <w:t>ending NACK only for feedback disabled HARQ processes</w:t>
            </w:r>
            <w:r>
              <w:rPr>
                <w:rFonts w:eastAsia="宋体" w:hint="eastAsia"/>
                <w:lang w:val="en-US"/>
              </w:rPr>
              <w:t>, although it sounds true.</w:t>
            </w:r>
          </w:p>
          <w:p w14:paraId="700A82B1" w14:textId="77777777" w:rsidR="00AA4AC8" w:rsidRDefault="0082369C">
            <w:pPr>
              <w:numPr>
                <w:ilvl w:val="0"/>
                <w:numId w:val="17"/>
              </w:numPr>
              <w:snapToGrid w:val="0"/>
              <w:rPr>
                <w:rFonts w:eastAsiaTheme="minorEastAsia"/>
              </w:rPr>
            </w:pPr>
            <w:r>
              <w:rPr>
                <w:rFonts w:eastAsiaTheme="minorEastAsia"/>
              </w:rPr>
              <w:t>ACK/NACK report</w:t>
            </w:r>
            <w:r>
              <w:rPr>
                <w:rFonts w:eastAsiaTheme="minorEastAsia" w:hint="eastAsia"/>
                <w:lang w:val="en-US"/>
              </w:rPr>
              <w:t xml:space="preserve"> for feedback-</w:t>
            </w:r>
            <w:r>
              <w:rPr>
                <w:rFonts w:eastAsiaTheme="minorEastAsia"/>
              </w:rPr>
              <w:t>disabl</w:t>
            </w:r>
            <w:r>
              <w:rPr>
                <w:rFonts w:eastAsiaTheme="minorEastAsia" w:hint="eastAsia"/>
                <w:lang w:val="en-US"/>
              </w:rPr>
              <w:t>ed HARQ process</w:t>
            </w:r>
            <w:r>
              <w:rPr>
                <w:rFonts w:eastAsiaTheme="minorEastAsia"/>
              </w:rPr>
              <w:t xml:space="preserve"> is </w:t>
            </w:r>
            <w:r>
              <w:rPr>
                <w:rFonts w:eastAsiaTheme="minorEastAsia" w:hint="eastAsia"/>
                <w:lang w:val="en-US"/>
              </w:rPr>
              <w:t xml:space="preserve">not </w:t>
            </w:r>
            <w:r>
              <w:rPr>
                <w:rFonts w:eastAsiaTheme="minorEastAsia"/>
              </w:rPr>
              <w:t>against  UE buffer management</w:t>
            </w:r>
            <w:r>
              <w:rPr>
                <w:rFonts w:eastAsiaTheme="minorEastAsia" w:hint="eastAsia"/>
                <w:lang w:val="en-US"/>
              </w:rPr>
              <w:t xml:space="preserve">. </w:t>
            </w:r>
            <w:r>
              <w:rPr>
                <w:rFonts w:eastAsiaTheme="minorEastAsia" w:hint="eastAsia"/>
                <w:lang w:val="en-US"/>
              </w:rPr>
              <w:br/>
              <w:t>UE buffer can be saved if no HARQ combination is disabled.</w:t>
            </w:r>
          </w:p>
          <w:p w14:paraId="5E44B9E8" w14:textId="77777777" w:rsidR="00AA4AC8" w:rsidRDefault="0082369C">
            <w:pPr>
              <w:numPr>
                <w:ilvl w:val="0"/>
                <w:numId w:val="17"/>
              </w:numPr>
              <w:snapToGrid w:val="0"/>
              <w:rPr>
                <w:rFonts w:eastAsiaTheme="minorEastAsia"/>
              </w:rPr>
            </w:pPr>
            <w:r>
              <w:rPr>
                <w:rFonts w:eastAsiaTheme="minorEastAsia"/>
              </w:rPr>
              <w:t>ACK/NACK report</w:t>
            </w:r>
            <w:r>
              <w:rPr>
                <w:rFonts w:eastAsiaTheme="minorEastAsia" w:hint="eastAsia"/>
                <w:lang w:val="en-US"/>
              </w:rPr>
              <w:t xml:space="preserve">  for feedback-</w:t>
            </w:r>
            <w:r>
              <w:rPr>
                <w:rFonts w:eastAsiaTheme="minorEastAsia"/>
              </w:rPr>
              <w:t>disabl</w:t>
            </w:r>
            <w:r>
              <w:rPr>
                <w:rFonts w:eastAsiaTheme="minorEastAsia" w:hint="eastAsia"/>
                <w:lang w:val="en-US"/>
              </w:rPr>
              <w:t>ed HARQ process can</w:t>
            </w:r>
            <w:r>
              <w:rPr>
                <w:rFonts w:eastAsiaTheme="minorEastAsia" w:hint="eastAsia"/>
              </w:rPr>
              <w:t xml:space="preserve"> help</w:t>
            </w:r>
            <w:r>
              <w:rPr>
                <w:rFonts w:eastAsiaTheme="minorEastAsia" w:hint="eastAsia"/>
                <w:lang w:val="en-US"/>
              </w:rPr>
              <w:t xml:space="preserve"> gNB handle</w:t>
            </w:r>
            <w:r>
              <w:rPr>
                <w:rFonts w:eastAsiaTheme="minorEastAsia" w:hint="eastAsia"/>
              </w:rPr>
              <w:t xml:space="preserve"> link adaptation. </w:t>
            </w:r>
          </w:p>
        </w:tc>
      </w:tr>
      <w:tr w:rsidR="009858B0" w14:paraId="642D15E8" w14:textId="77777777">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58FC68A6" w14:textId="77777777" w:rsidR="009858B0" w:rsidRDefault="009858B0">
            <w:pPr>
              <w:jc w:val="center"/>
              <w:rPr>
                <w:rFonts w:eastAsiaTheme="minorEastAsia" w:cs="Arial"/>
                <w:lang w:val="en-US"/>
              </w:rPr>
            </w:pPr>
            <w:r>
              <w:rPr>
                <w:rFonts w:eastAsiaTheme="minorEastAsia" w:cs="Arial" w:hint="eastAsia"/>
                <w:lang w:val="en-US"/>
              </w:rPr>
              <w:t>S</w:t>
            </w:r>
            <w:r>
              <w:rPr>
                <w:rFonts w:eastAsiaTheme="minorEastAsia" w:cs="Arial"/>
                <w:lang w:val="en-US"/>
              </w:rPr>
              <w:t>preadtrum</w:t>
            </w:r>
          </w:p>
        </w:tc>
        <w:tc>
          <w:tcPr>
            <w:tcW w:w="1392" w:type="dxa"/>
            <w:tcBorders>
              <w:top w:val="single" w:sz="4" w:space="0" w:color="auto"/>
              <w:left w:val="single" w:sz="4" w:space="0" w:color="auto"/>
              <w:bottom w:val="single" w:sz="4" w:space="0" w:color="auto"/>
              <w:right w:val="single" w:sz="4" w:space="0" w:color="auto"/>
            </w:tcBorders>
            <w:vAlign w:val="center"/>
          </w:tcPr>
          <w:p w14:paraId="66479E2A" w14:textId="77777777" w:rsidR="009858B0" w:rsidRDefault="009858B0">
            <w:pPr>
              <w:snapToGrid w:val="0"/>
              <w:rPr>
                <w:rFonts w:eastAsia="MS Mincho"/>
              </w:rPr>
            </w:pPr>
            <w:r w:rsidRPr="009858B0">
              <w:rPr>
                <w:rFonts w:eastAsia="MS Mincho"/>
              </w:rPr>
              <w:t>Option 1</w:t>
            </w:r>
          </w:p>
        </w:tc>
        <w:tc>
          <w:tcPr>
            <w:tcW w:w="1560" w:type="dxa"/>
            <w:tcBorders>
              <w:top w:val="single" w:sz="4" w:space="0" w:color="auto"/>
              <w:left w:val="single" w:sz="4" w:space="0" w:color="auto"/>
              <w:bottom w:val="single" w:sz="4" w:space="0" w:color="auto"/>
              <w:right w:val="single" w:sz="4" w:space="0" w:color="auto"/>
            </w:tcBorders>
            <w:vAlign w:val="center"/>
          </w:tcPr>
          <w:p w14:paraId="648BA6BE" w14:textId="77777777" w:rsidR="009858B0" w:rsidRDefault="009858B0">
            <w:pPr>
              <w:snapToGrid w:val="0"/>
              <w:jc w:val="both"/>
              <w:rPr>
                <w:rFonts w:eastAsia="MS Mincho"/>
              </w:rPr>
            </w:pPr>
          </w:p>
        </w:tc>
        <w:tc>
          <w:tcPr>
            <w:tcW w:w="2625" w:type="dxa"/>
            <w:tcBorders>
              <w:top w:val="single" w:sz="4" w:space="0" w:color="auto"/>
              <w:left w:val="single" w:sz="4" w:space="0" w:color="auto"/>
              <w:bottom w:val="single" w:sz="4" w:space="0" w:color="auto"/>
              <w:right w:val="single" w:sz="4" w:space="0" w:color="auto"/>
            </w:tcBorders>
            <w:vAlign w:val="center"/>
          </w:tcPr>
          <w:p w14:paraId="5C88C008" w14:textId="77777777" w:rsidR="009858B0" w:rsidRDefault="009858B0">
            <w:pPr>
              <w:snapToGrid w:val="0"/>
              <w:jc w:val="both"/>
            </w:pPr>
          </w:p>
        </w:tc>
        <w:tc>
          <w:tcPr>
            <w:tcW w:w="3145" w:type="dxa"/>
            <w:tcBorders>
              <w:top w:val="single" w:sz="4" w:space="0" w:color="auto"/>
              <w:left w:val="single" w:sz="4" w:space="0" w:color="auto"/>
              <w:bottom w:val="single" w:sz="4" w:space="0" w:color="auto"/>
              <w:right w:val="single" w:sz="4" w:space="0" w:color="auto"/>
            </w:tcBorders>
          </w:tcPr>
          <w:p w14:paraId="053BDA29" w14:textId="77777777" w:rsidR="009858B0" w:rsidRDefault="009858B0">
            <w:pPr>
              <w:numPr>
                <w:ilvl w:val="0"/>
                <w:numId w:val="17"/>
              </w:numPr>
              <w:snapToGrid w:val="0"/>
              <w:rPr>
                <w:rFonts w:eastAsia="宋体"/>
                <w:lang w:val="en-US"/>
              </w:rPr>
            </w:pPr>
          </w:p>
        </w:tc>
      </w:tr>
      <w:tr w:rsidR="00124F72" w14:paraId="0F36A774" w14:textId="77777777" w:rsidTr="00A37B5F">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0337472F" w14:textId="2EF81B1B" w:rsidR="00124F72" w:rsidRDefault="00124F72" w:rsidP="00124F72">
            <w:pPr>
              <w:jc w:val="center"/>
              <w:rPr>
                <w:rFonts w:eastAsiaTheme="minorEastAsia" w:cs="Arial"/>
                <w:lang w:val="en-US"/>
              </w:rPr>
            </w:pPr>
            <w:r>
              <w:rPr>
                <w:rFonts w:eastAsia="MS Mincho" w:cs="Arial" w:hint="eastAsia"/>
                <w:lang w:eastAsia="ja-JP"/>
              </w:rPr>
              <w:t>S</w:t>
            </w:r>
            <w:r>
              <w:rPr>
                <w:rFonts w:eastAsia="MS Mincho" w:cs="Arial"/>
                <w:lang w:eastAsia="ja-JP"/>
              </w:rPr>
              <w:t>ony</w:t>
            </w:r>
          </w:p>
        </w:tc>
        <w:tc>
          <w:tcPr>
            <w:tcW w:w="1392" w:type="dxa"/>
            <w:tcBorders>
              <w:top w:val="single" w:sz="4" w:space="0" w:color="auto"/>
              <w:left w:val="single" w:sz="4" w:space="0" w:color="auto"/>
              <w:bottom w:val="single" w:sz="4" w:space="0" w:color="auto"/>
              <w:right w:val="single" w:sz="4" w:space="0" w:color="auto"/>
            </w:tcBorders>
            <w:vAlign w:val="center"/>
          </w:tcPr>
          <w:p w14:paraId="7AB28281" w14:textId="7F349C11" w:rsidR="00124F72" w:rsidRPr="009858B0" w:rsidRDefault="00124F72" w:rsidP="00124F72">
            <w:pPr>
              <w:snapToGrid w:val="0"/>
              <w:rPr>
                <w:rFonts w:eastAsia="MS Mincho"/>
              </w:rPr>
            </w:pPr>
            <w:r>
              <w:rPr>
                <w:rFonts w:eastAsia="MS Mincho" w:hint="eastAsia"/>
                <w:lang w:eastAsia="ja-JP"/>
              </w:rPr>
              <w:t>O</w:t>
            </w:r>
            <w:r>
              <w:rPr>
                <w:rFonts w:eastAsia="MS Mincho"/>
                <w:lang w:eastAsia="ja-JP"/>
              </w:rPr>
              <w:t>ption 4</w:t>
            </w:r>
          </w:p>
        </w:tc>
        <w:tc>
          <w:tcPr>
            <w:tcW w:w="1560" w:type="dxa"/>
            <w:tcBorders>
              <w:top w:val="single" w:sz="4" w:space="0" w:color="auto"/>
              <w:left w:val="single" w:sz="4" w:space="0" w:color="auto"/>
              <w:bottom w:val="single" w:sz="4" w:space="0" w:color="auto"/>
              <w:right w:val="single" w:sz="4" w:space="0" w:color="auto"/>
            </w:tcBorders>
          </w:tcPr>
          <w:p w14:paraId="2D45840E" w14:textId="20544066" w:rsidR="00124F72" w:rsidRDefault="00124F72" w:rsidP="00124F72">
            <w:pPr>
              <w:snapToGrid w:val="0"/>
              <w:jc w:val="both"/>
              <w:rPr>
                <w:rFonts w:eastAsia="MS Mincho"/>
              </w:rPr>
            </w:pPr>
            <w:r>
              <w:rPr>
                <w:rFonts w:eastAsia="MS Mincho" w:hint="eastAsia"/>
                <w:lang w:eastAsia="ja-JP"/>
              </w:rPr>
              <w:t>O</w:t>
            </w:r>
            <w:r>
              <w:rPr>
                <w:rFonts w:eastAsia="MS Mincho"/>
                <w:lang w:eastAsia="ja-JP"/>
              </w:rPr>
              <w:t>ption 6</w:t>
            </w:r>
          </w:p>
        </w:tc>
        <w:tc>
          <w:tcPr>
            <w:tcW w:w="2625" w:type="dxa"/>
            <w:tcBorders>
              <w:top w:val="single" w:sz="4" w:space="0" w:color="auto"/>
              <w:left w:val="single" w:sz="4" w:space="0" w:color="auto"/>
              <w:bottom w:val="single" w:sz="4" w:space="0" w:color="auto"/>
              <w:right w:val="single" w:sz="4" w:space="0" w:color="auto"/>
            </w:tcBorders>
            <w:vAlign w:val="center"/>
          </w:tcPr>
          <w:p w14:paraId="5EE7DAEF" w14:textId="77777777" w:rsidR="00124F72" w:rsidRDefault="00124F72" w:rsidP="00124F72">
            <w:pPr>
              <w:snapToGrid w:val="0"/>
              <w:jc w:val="both"/>
            </w:pPr>
          </w:p>
        </w:tc>
        <w:tc>
          <w:tcPr>
            <w:tcW w:w="3145" w:type="dxa"/>
            <w:tcBorders>
              <w:top w:val="single" w:sz="4" w:space="0" w:color="auto"/>
              <w:left w:val="single" w:sz="4" w:space="0" w:color="auto"/>
              <w:bottom w:val="single" w:sz="4" w:space="0" w:color="auto"/>
              <w:right w:val="single" w:sz="4" w:space="0" w:color="auto"/>
            </w:tcBorders>
          </w:tcPr>
          <w:p w14:paraId="7FC6F875" w14:textId="77777777" w:rsidR="00124F72" w:rsidRDefault="00124F72" w:rsidP="00124F72">
            <w:pPr>
              <w:numPr>
                <w:ilvl w:val="0"/>
                <w:numId w:val="17"/>
              </w:numPr>
              <w:snapToGrid w:val="0"/>
              <w:rPr>
                <w:rFonts w:eastAsia="宋体"/>
                <w:lang w:val="en-US"/>
              </w:rPr>
            </w:pPr>
          </w:p>
        </w:tc>
      </w:tr>
      <w:tr w:rsidR="007D1E28" w14:paraId="6458B3DF" w14:textId="77777777" w:rsidTr="00C30281">
        <w:trPr>
          <w:jc w:val="center"/>
        </w:trPr>
        <w:tc>
          <w:tcPr>
            <w:tcW w:w="1438" w:type="dxa"/>
            <w:tcBorders>
              <w:top w:val="single" w:sz="4" w:space="0" w:color="auto"/>
              <w:left w:val="single" w:sz="4" w:space="0" w:color="auto"/>
              <w:bottom w:val="single" w:sz="4" w:space="0" w:color="auto"/>
              <w:right w:val="single" w:sz="4" w:space="0" w:color="auto"/>
            </w:tcBorders>
            <w:vAlign w:val="center"/>
          </w:tcPr>
          <w:p w14:paraId="6331EFFE" w14:textId="3103472C" w:rsidR="007D1E28" w:rsidRPr="00FF4048" w:rsidRDefault="007D1E28" w:rsidP="007D1E28">
            <w:pPr>
              <w:jc w:val="center"/>
              <w:rPr>
                <w:rFonts w:eastAsia="MS Mincho" w:cs="Arial"/>
                <w:lang w:eastAsia="ja-JP"/>
              </w:rPr>
            </w:pPr>
            <w:r w:rsidRPr="00FF4048">
              <w:rPr>
                <w:rFonts w:eastAsiaTheme="minorEastAsia" w:cs="Arial"/>
                <w:lang w:val="en-US"/>
              </w:rPr>
              <w:t>Ericsson</w:t>
            </w:r>
          </w:p>
        </w:tc>
        <w:tc>
          <w:tcPr>
            <w:tcW w:w="1392" w:type="dxa"/>
            <w:tcBorders>
              <w:top w:val="single" w:sz="4" w:space="0" w:color="auto"/>
              <w:left w:val="single" w:sz="4" w:space="0" w:color="auto"/>
              <w:bottom w:val="single" w:sz="4" w:space="0" w:color="auto"/>
              <w:right w:val="single" w:sz="4" w:space="0" w:color="auto"/>
            </w:tcBorders>
            <w:vAlign w:val="center"/>
          </w:tcPr>
          <w:p w14:paraId="0DD0C043" w14:textId="65CE3FE5" w:rsidR="007D1E28" w:rsidRPr="00FF4048" w:rsidRDefault="007D1E28" w:rsidP="007D1E28">
            <w:pPr>
              <w:snapToGrid w:val="0"/>
              <w:rPr>
                <w:rFonts w:eastAsia="MS Mincho"/>
                <w:lang w:eastAsia="ja-JP"/>
              </w:rPr>
            </w:pPr>
            <w:r w:rsidRPr="00FF4048">
              <w:rPr>
                <w:rFonts w:eastAsia="MS Mincho"/>
              </w:rPr>
              <w:t>Option 3</w:t>
            </w:r>
          </w:p>
        </w:tc>
        <w:tc>
          <w:tcPr>
            <w:tcW w:w="1560" w:type="dxa"/>
            <w:tcBorders>
              <w:top w:val="single" w:sz="4" w:space="0" w:color="auto"/>
              <w:left w:val="single" w:sz="4" w:space="0" w:color="auto"/>
              <w:bottom w:val="single" w:sz="4" w:space="0" w:color="auto"/>
              <w:right w:val="single" w:sz="4" w:space="0" w:color="auto"/>
            </w:tcBorders>
            <w:vAlign w:val="center"/>
          </w:tcPr>
          <w:p w14:paraId="1C6C8DC7" w14:textId="34762E07" w:rsidR="007D1E28" w:rsidRDefault="007D1E28" w:rsidP="007D1E28">
            <w:pPr>
              <w:snapToGrid w:val="0"/>
              <w:jc w:val="both"/>
              <w:rPr>
                <w:rFonts w:eastAsia="MS Mincho"/>
                <w:lang w:eastAsia="ja-JP"/>
              </w:rPr>
            </w:pPr>
            <w:r>
              <w:rPr>
                <w:rFonts w:eastAsia="MS Mincho"/>
              </w:rPr>
              <w:t>Option 4,5,6</w:t>
            </w:r>
          </w:p>
        </w:tc>
        <w:tc>
          <w:tcPr>
            <w:tcW w:w="2625" w:type="dxa"/>
            <w:tcBorders>
              <w:top w:val="single" w:sz="4" w:space="0" w:color="auto"/>
              <w:left w:val="single" w:sz="4" w:space="0" w:color="auto"/>
              <w:bottom w:val="single" w:sz="4" w:space="0" w:color="auto"/>
              <w:right w:val="single" w:sz="4" w:space="0" w:color="auto"/>
            </w:tcBorders>
            <w:vAlign w:val="center"/>
          </w:tcPr>
          <w:p w14:paraId="0B87D10E" w14:textId="77777777" w:rsidR="007D1E28" w:rsidRDefault="007D1E28" w:rsidP="007D1E28">
            <w:pPr>
              <w:snapToGrid w:val="0"/>
              <w:jc w:val="both"/>
            </w:pPr>
          </w:p>
        </w:tc>
        <w:tc>
          <w:tcPr>
            <w:tcW w:w="3145" w:type="dxa"/>
            <w:tcBorders>
              <w:top w:val="single" w:sz="4" w:space="0" w:color="auto"/>
              <w:left w:val="single" w:sz="4" w:space="0" w:color="auto"/>
              <w:bottom w:val="single" w:sz="4" w:space="0" w:color="auto"/>
              <w:right w:val="single" w:sz="4" w:space="0" w:color="auto"/>
            </w:tcBorders>
          </w:tcPr>
          <w:p w14:paraId="746BBDAE" w14:textId="77777777" w:rsidR="007D1E28" w:rsidRDefault="007D1E28" w:rsidP="007D1E28">
            <w:pPr>
              <w:snapToGrid w:val="0"/>
              <w:rPr>
                <w:rFonts w:eastAsia="宋体"/>
                <w:lang w:val="en-US"/>
              </w:rPr>
            </w:pPr>
          </w:p>
        </w:tc>
      </w:tr>
    </w:tbl>
    <w:p w14:paraId="06972209" w14:textId="2A9E477B" w:rsidR="00FF4048" w:rsidRDefault="00FF4048" w:rsidP="00FF4048">
      <w:pPr>
        <w:pStyle w:val="3"/>
        <w:numPr>
          <w:ilvl w:val="2"/>
          <w:numId w:val="10"/>
        </w:numPr>
        <w:rPr>
          <w:rFonts w:ascii="Times New Roman" w:eastAsiaTheme="minorEastAsia" w:hAnsi="Times New Roman"/>
          <w:b/>
          <w:sz w:val="22"/>
        </w:rPr>
      </w:pPr>
      <w:r>
        <w:rPr>
          <w:rFonts w:ascii="Times New Roman" w:eastAsiaTheme="minorEastAsia" w:hAnsi="Times New Roman"/>
          <w:b/>
          <w:sz w:val="22"/>
        </w:rPr>
        <w:t>Updated based on the email discussion</w:t>
      </w:r>
    </w:p>
    <w:p w14:paraId="08A9144E" w14:textId="5667EA70" w:rsidR="007945C6" w:rsidRDefault="00FF4048" w:rsidP="007945C6">
      <w:pPr>
        <w:snapToGrid w:val="0"/>
        <w:spacing w:beforeLines="50" w:before="120" w:afterLines="50" w:after="120"/>
        <w:rPr>
          <w:b/>
          <w:color w:val="000000" w:themeColor="text1"/>
          <w:highlight w:val="yellow"/>
        </w:rPr>
      </w:pPr>
      <w:r>
        <w:rPr>
          <w:rFonts w:eastAsiaTheme="minorEastAsia" w:hint="eastAsia"/>
        </w:rPr>
        <w:t xml:space="preserve">According to </w:t>
      </w:r>
      <w:r>
        <w:rPr>
          <w:rFonts w:eastAsiaTheme="minorEastAsia"/>
        </w:rPr>
        <w:t>the</w:t>
      </w:r>
      <w:r>
        <w:rPr>
          <w:rFonts w:eastAsiaTheme="minorEastAsia" w:hint="eastAsia"/>
        </w:rPr>
        <w:t xml:space="preserve"> 2</w:t>
      </w:r>
      <w:r w:rsidRPr="00FF4048">
        <w:rPr>
          <w:rFonts w:eastAsiaTheme="minorEastAsia" w:hint="eastAsia"/>
          <w:vertAlign w:val="superscript"/>
        </w:rPr>
        <w:t>nd</w:t>
      </w:r>
      <w:r>
        <w:rPr>
          <w:rFonts w:eastAsiaTheme="minorEastAsia" w:hint="eastAsia"/>
        </w:rPr>
        <w:t xml:space="preserve"> </w:t>
      </w:r>
      <w:r>
        <w:rPr>
          <w:rFonts w:eastAsiaTheme="minorEastAsia"/>
        </w:rPr>
        <w:t>round discussion with following statistic, it seems that the best way to take the Option-2</w:t>
      </w:r>
      <w:r w:rsidR="007945C6" w:rsidRPr="007945C6">
        <w:rPr>
          <w:rFonts w:eastAsiaTheme="minorEastAsia"/>
        </w:rPr>
        <w:t>.</w:t>
      </w:r>
    </w:p>
    <w:tbl>
      <w:tblPr>
        <w:tblStyle w:val="af4"/>
        <w:tblW w:w="0" w:type="auto"/>
        <w:tblLook w:val="04A0" w:firstRow="1" w:lastRow="0" w:firstColumn="1" w:lastColumn="0" w:noHBand="0" w:noVBand="1"/>
      </w:tblPr>
      <w:tblGrid>
        <w:gridCol w:w="1271"/>
        <w:gridCol w:w="4252"/>
        <w:gridCol w:w="4637"/>
      </w:tblGrid>
      <w:tr w:rsidR="00FF4048" w:rsidRPr="0044001C" w14:paraId="76083634" w14:textId="77777777" w:rsidTr="002D17C3">
        <w:tc>
          <w:tcPr>
            <w:tcW w:w="1271" w:type="dxa"/>
          </w:tcPr>
          <w:p w14:paraId="22C42B17" w14:textId="77777777" w:rsidR="00FF4048" w:rsidRPr="0044001C" w:rsidRDefault="00FF4048" w:rsidP="002D17C3">
            <w:pPr>
              <w:jc w:val="center"/>
              <w:rPr>
                <w:rFonts w:ascii="Times New Roman" w:eastAsiaTheme="minorEastAsia" w:hAnsi="Times New Roman"/>
              </w:rPr>
            </w:pPr>
            <w:r w:rsidRPr="0044001C">
              <w:rPr>
                <w:rFonts w:ascii="Times New Roman" w:eastAsiaTheme="minorEastAsia" w:hAnsi="Times New Roman"/>
              </w:rPr>
              <w:t>Options</w:t>
            </w:r>
          </w:p>
        </w:tc>
        <w:tc>
          <w:tcPr>
            <w:tcW w:w="4252" w:type="dxa"/>
          </w:tcPr>
          <w:p w14:paraId="5AB5C415" w14:textId="77777777" w:rsidR="00FF4048" w:rsidRPr="0044001C" w:rsidRDefault="00FF4048" w:rsidP="002D17C3">
            <w:pPr>
              <w:jc w:val="center"/>
              <w:rPr>
                <w:rFonts w:ascii="Times New Roman" w:eastAsiaTheme="minorEastAsia" w:hAnsi="Times New Roman"/>
              </w:rPr>
            </w:pPr>
            <w:r w:rsidRPr="0044001C">
              <w:rPr>
                <w:rFonts w:ascii="Times New Roman" w:eastAsiaTheme="minorEastAsia" w:hAnsi="Times New Roman"/>
              </w:rPr>
              <w:t>Preference (including 2</w:t>
            </w:r>
            <w:r w:rsidRPr="0044001C">
              <w:rPr>
                <w:rFonts w:ascii="Times New Roman" w:eastAsiaTheme="minorEastAsia" w:hAnsi="Times New Roman"/>
                <w:vertAlign w:val="superscript"/>
              </w:rPr>
              <w:t>nd</w:t>
            </w:r>
            <w:r w:rsidRPr="0044001C">
              <w:rPr>
                <w:rFonts w:ascii="Times New Roman" w:eastAsiaTheme="minorEastAsia" w:hAnsi="Times New Roman"/>
              </w:rPr>
              <w:t>)</w:t>
            </w:r>
          </w:p>
        </w:tc>
        <w:tc>
          <w:tcPr>
            <w:tcW w:w="0" w:type="auto"/>
          </w:tcPr>
          <w:p w14:paraId="0A303259" w14:textId="77777777" w:rsidR="00FF4048" w:rsidRPr="0044001C" w:rsidRDefault="00FF4048" w:rsidP="002D17C3">
            <w:pPr>
              <w:jc w:val="center"/>
              <w:rPr>
                <w:rFonts w:ascii="Times New Roman" w:eastAsiaTheme="minorEastAsia" w:hAnsi="Times New Roman"/>
              </w:rPr>
            </w:pPr>
            <w:r w:rsidRPr="0044001C">
              <w:rPr>
                <w:rFonts w:ascii="Times New Roman" w:eastAsiaTheme="minorEastAsia" w:hAnsi="Times New Roman"/>
              </w:rPr>
              <w:t>Concerns</w:t>
            </w:r>
          </w:p>
        </w:tc>
      </w:tr>
      <w:tr w:rsidR="00FF4048" w:rsidRPr="0044001C" w14:paraId="43E6A348" w14:textId="77777777" w:rsidTr="002D17C3">
        <w:tc>
          <w:tcPr>
            <w:tcW w:w="1271" w:type="dxa"/>
          </w:tcPr>
          <w:p w14:paraId="341459BC" w14:textId="77777777" w:rsidR="00FF4048" w:rsidRPr="0044001C" w:rsidRDefault="00FF4048" w:rsidP="002D17C3">
            <w:pPr>
              <w:snapToGrid w:val="0"/>
              <w:spacing w:beforeLines="50" w:afterLines="50" w:after="120"/>
              <w:ind w:left="288"/>
              <w:jc w:val="center"/>
              <w:rPr>
                <w:rFonts w:ascii="Times New Roman" w:eastAsiaTheme="minorEastAsia" w:hAnsi="Times New Roman"/>
              </w:rPr>
            </w:pPr>
            <w:r w:rsidRPr="0044001C">
              <w:rPr>
                <w:rFonts w:ascii="Times New Roman" w:eastAsiaTheme="minorEastAsia" w:hAnsi="Times New Roman"/>
              </w:rPr>
              <w:t>Option-1</w:t>
            </w:r>
          </w:p>
        </w:tc>
        <w:tc>
          <w:tcPr>
            <w:tcW w:w="4252" w:type="dxa"/>
          </w:tcPr>
          <w:p w14:paraId="0BC34A0E" w14:textId="77777777" w:rsidR="00FF4048" w:rsidRPr="0044001C" w:rsidRDefault="00FF4048" w:rsidP="002D17C3">
            <w:pPr>
              <w:jc w:val="center"/>
              <w:rPr>
                <w:rFonts w:ascii="Times New Roman" w:eastAsiaTheme="minorEastAsia" w:hAnsi="Times New Roman"/>
              </w:rPr>
            </w:pPr>
            <w:r w:rsidRPr="0044001C">
              <w:rPr>
                <w:rFonts w:cs="Arial"/>
              </w:rPr>
              <w:t>OPPO,</w:t>
            </w:r>
            <w:r w:rsidRPr="0044001C">
              <w:rPr>
                <w:rFonts w:eastAsia="MS Mincho" w:cs="Arial"/>
              </w:rPr>
              <w:t xml:space="preserve"> Panasonic</w:t>
            </w:r>
            <w:r w:rsidRPr="0044001C">
              <w:rPr>
                <w:rFonts w:asciiTheme="minorEastAsia" w:eastAsiaTheme="minorEastAsia" w:hAnsiTheme="minorEastAsia" w:cs="Arial" w:hint="eastAsia"/>
              </w:rPr>
              <w:t>,</w:t>
            </w:r>
            <w:r w:rsidRPr="0044001C">
              <w:rPr>
                <w:rFonts w:eastAsiaTheme="minorEastAsia" w:cs="Arial" w:hint="eastAsia"/>
                <w:lang w:val="en-US"/>
              </w:rPr>
              <w:t>Baicells</w:t>
            </w:r>
            <w:r w:rsidRPr="0044001C">
              <w:rPr>
                <w:rFonts w:eastAsiaTheme="minorEastAsia" w:cs="Arial"/>
                <w:lang w:val="en-US"/>
              </w:rPr>
              <w:t>,</w:t>
            </w:r>
            <w:r w:rsidRPr="0044001C">
              <w:rPr>
                <w:rFonts w:eastAsiaTheme="minorEastAsia" w:cs="Arial" w:hint="eastAsia"/>
                <w:lang w:val="en-US"/>
              </w:rPr>
              <w:t xml:space="preserve"> S</w:t>
            </w:r>
            <w:r w:rsidRPr="0044001C">
              <w:rPr>
                <w:rFonts w:eastAsiaTheme="minorEastAsia" w:cs="Arial"/>
                <w:lang w:val="en-US"/>
              </w:rPr>
              <w:t>preadtrum</w:t>
            </w:r>
          </w:p>
        </w:tc>
        <w:tc>
          <w:tcPr>
            <w:tcW w:w="0" w:type="auto"/>
          </w:tcPr>
          <w:p w14:paraId="5DFCBCDF" w14:textId="77777777" w:rsidR="00FF4048" w:rsidRPr="0044001C" w:rsidRDefault="00FF4048" w:rsidP="002D17C3">
            <w:pPr>
              <w:jc w:val="center"/>
              <w:rPr>
                <w:rFonts w:ascii="Times New Roman" w:eastAsiaTheme="minorEastAsia" w:hAnsi="Times New Roman"/>
              </w:rPr>
            </w:pPr>
            <w:r w:rsidRPr="0044001C">
              <w:rPr>
                <w:rFonts w:cs="Arial"/>
              </w:rPr>
              <w:t>Apple, NTT DOCOMO,</w:t>
            </w:r>
            <w:r w:rsidRPr="0044001C">
              <w:rPr>
                <w:rFonts w:eastAsiaTheme="minorEastAsia"/>
              </w:rPr>
              <w:t xml:space="preserve"> vivo,</w:t>
            </w:r>
            <w:r w:rsidRPr="0044001C">
              <w:rPr>
                <w:rFonts w:cs="Arial"/>
              </w:rPr>
              <w:t xml:space="preserve"> NEC,</w:t>
            </w:r>
            <w:r w:rsidRPr="0044001C">
              <w:rPr>
                <w:rFonts w:eastAsiaTheme="minorEastAsia" w:cs="Arial"/>
              </w:rPr>
              <w:t xml:space="preserve"> Samsung,</w:t>
            </w:r>
            <w:r w:rsidRPr="0044001C">
              <w:rPr>
                <w:rFonts w:eastAsiaTheme="minorEastAsia" w:cs="Arial" w:hint="eastAsia"/>
              </w:rPr>
              <w:t xml:space="preserve"> Z</w:t>
            </w:r>
            <w:r w:rsidRPr="0044001C">
              <w:rPr>
                <w:rFonts w:eastAsiaTheme="minorEastAsia" w:cs="Arial"/>
              </w:rPr>
              <w:t>TE, Huawei,</w:t>
            </w:r>
            <w:r w:rsidRPr="0044001C">
              <w:rPr>
                <w:rFonts w:eastAsiaTheme="minorEastAsia" w:cs="Arial" w:hint="eastAsia"/>
                <w:lang w:val="en-US"/>
              </w:rPr>
              <w:t xml:space="preserve"> Baicells</w:t>
            </w:r>
          </w:p>
        </w:tc>
      </w:tr>
      <w:tr w:rsidR="00FF4048" w:rsidRPr="0044001C" w14:paraId="2AA75274" w14:textId="77777777" w:rsidTr="002D17C3">
        <w:tc>
          <w:tcPr>
            <w:tcW w:w="1271" w:type="dxa"/>
          </w:tcPr>
          <w:p w14:paraId="0212ED0F" w14:textId="77777777" w:rsidR="00FF4048" w:rsidRPr="0044001C" w:rsidRDefault="00FF4048" w:rsidP="002D17C3">
            <w:pPr>
              <w:snapToGrid w:val="0"/>
              <w:spacing w:beforeLines="50" w:afterLines="50" w:after="120"/>
              <w:ind w:left="288"/>
              <w:jc w:val="center"/>
              <w:rPr>
                <w:rFonts w:ascii="Times New Roman" w:eastAsiaTheme="minorEastAsia" w:hAnsi="Times New Roman"/>
              </w:rPr>
            </w:pPr>
            <w:r w:rsidRPr="0044001C">
              <w:rPr>
                <w:rFonts w:ascii="Times New Roman" w:eastAsiaTheme="minorEastAsia" w:hAnsi="Times New Roman"/>
              </w:rPr>
              <w:t>Option-2</w:t>
            </w:r>
          </w:p>
        </w:tc>
        <w:tc>
          <w:tcPr>
            <w:tcW w:w="4252" w:type="dxa"/>
          </w:tcPr>
          <w:p w14:paraId="2B1CFB25" w14:textId="77777777" w:rsidR="00FF4048" w:rsidRPr="0044001C" w:rsidRDefault="00FF4048" w:rsidP="002D17C3">
            <w:pPr>
              <w:jc w:val="center"/>
              <w:rPr>
                <w:rFonts w:ascii="Times New Roman" w:eastAsiaTheme="minorEastAsia" w:hAnsi="Times New Roman"/>
              </w:rPr>
            </w:pPr>
            <w:r w:rsidRPr="0044001C">
              <w:rPr>
                <w:rFonts w:cs="Arial"/>
              </w:rPr>
              <w:t>Apple, Xiaomi, NTT DOCOMO, NEC,</w:t>
            </w:r>
            <w:r w:rsidRPr="0044001C">
              <w:rPr>
                <w:rFonts w:eastAsiaTheme="minorEastAsia" w:cs="Arial"/>
              </w:rPr>
              <w:t xml:space="preserve"> Samsung,</w:t>
            </w:r>
            <w:r w:rsidRPr="0044001C">
              <w:rPr>
                <w:rFonts w:eastAsiaTheme="minorEastAsia" w:cs="Arial" w:hint="eastAsia"/>
              </w:rPr>
              <w:t xml:space="preserve"> Z</w:t>
            </w:r>
            <w:r w:rsidRPr="0044001C">
              <w:rPr>
                <w:rFonts w:eastAsiaTheme="minorEastAsia" w:cs="Arial"/>
              </w:rPr>
              <w:t>TE, Huawei (7)</w:t>
            </w:r>
          </w:p>
        </w:tc>
        <w:tc>
          <w:tcPr>
            <w:tcW w:w="0" w:type="auto"/>
          </w:tcPr>
          <w:p w14:paraId="11DB71BE" w14:textId="77777777" w:rsidR="00FF4048" w:rsidRPr="0044001C" w:rsidRDefault="00FF4048" w:rsidP="002D17C3">
            <w:pPr>
              <w:jc w:val="center"/>
              <w:rPr>
                <w:rFonts w:ascii="Times New Roman" w:eastAsiaTheme="minorEastAsia" w:hAnsi="Times New Roman"/>
              </w:rPr>
            </w:pPr>
            <w:r w:rsidRPr="0044001C">
              <w:rPr>
                <w:rFonts w:cs="Arial"/>
              </w:rPr>
              <w:t>OPPO,</w:t>
            </w:r>
            <w:r w:rsidRPr="0044001C">
              <w:rPr>
                <w:rFonts w:eastAsia="MS Mincho" w:cs="Arial"/>
              </w:rPr>
              <w:t xml:space="preserve"> Panasonic,</w:t>
            </w:r>
            <w:r w:rsidRPr="0044001C">
              <w:rPr>
                <w:rFonts w:eastAsiaTheme="minorEastAsia" w:cs="Arial" w:hint="eastAsia"/>
                <w:lang w:val="en-US"/>
              </w:rPr>
              <w:t xml:space="preserve"> Baicells</w:t>
            </w:r>
            <w:r w:rsidRPr="0044001C">
              <w:rPr>
                <w:rFonts w:eastAsiaTheme="minorEastAsia" w:cs="Arial"/>
                <w:lang w:val="en-US"/>
              </w:rPr>
              <w:t xml:space="preserve"> (3)</w:t>
            </w:r>
          </w:p>
        </w:tc>
      </w:tr>
      <w:tr w:rsidR="00FF4048" w:rsidRPr="0044001C" w14:paraId="4A3AA5D0" w14:textId="77777777" w:rsidTr="002D17C3">
        <w:tc>
          <w:tcPr>
            <w:tcW w:w="1271" w:type="dxa"/>
          </w:tcPr>
          <w:p w14:paraId="7012EA1B" w14:textId="77777777" w:rsidR="00FF4048" w:rsidRPr="0044001C" w:rsidRDefault="00FF4048" w:rsidP="002D17C3">
            <w:pPr>
              <w:snapToGrid w:val="0"/>
              <w:spacing w:beforeLines="50" w:afterLines="50" w:after="120"/>
              <w:ind w:left="288"/>
              <w:jc w:val="center"/>
              <w:rPr>
                <w:rFonts w:ascii="Times New Roman" w:eastAsiaTheme="minorEastAsia" w:hAnsi="Times New Roman"/>
              </w:rPr>
            </w:pPr>
            <w:r w:rsidRPr="0044001C">
              <w:rPr>
                <w:rFonts w:ascii="Times New Roman" w:eastAsiaTheme="minorEastAsia" w:hAnsi="Times New Roman"/>
              </w:rPr>
              <w:t>Option-3</w:t>
            </w:r>
          </w:p>
        </w:tc>
        <w:tc>
          <w:tcPr>
            <w:tcW w:w="4252" w:type="dxa"/>
          </w:tcPr>
          <w:p w14:paraId="20ABEFF8" w14:textId="7DA3E4B3" w:rsidR="00FF4048" w:rsidRPr="007777AF" w:rsidRDefault="00FF4048" w:rsidP="00FF4048">
            <w:pPr>
              <w:jc w:val="center"/>
              <w:rPr>
                <w:rFonts w:ascii="Times New Roman" w:eastAsiaTheme="minorEastAsia" w:hAnsi="Times New Roman"/>
                <w:lang w:val="en-US"/>
              </w:rPr>
            </w:pPr>
            <w:r w:rsidRPr="0044001C">
              <w:rPr>
                <w:rFonts w:eastAsiaTheme="minorEastAsia"/>
              </w:rPr>
              <w:t>Vivo,</w:t>
            </w:r>
            <w:r w:rsidRPr="0044001C">
              <w:rPr>
                <w:rFonts w:eastAsia="MS Mincho" w:cs="Arial"/>
              </w:rPr>
              <w:t xml:space="preserve"> Panasonic,</w:t>
            </w:r>
            <w:r w:rsidRPr="0044001C">
              <w:rPr>
                <w:rFonts w:eastAsiaTheme="minorEastAsia" w:cs="Arial" w:hint="eastAsia"/>
              </w:rPr>
              <w:t xml:space="preserve"> C</w:t>
            </w:r>
            <w:r w:rsidRPr="0044001C">
              <w:rPr>
                <w:rFonts w:eastAsiaTheme="minorEastAsia" w:cs="Arial"/>
              </w:rPr>
              <w:t>MCC, CAICT,LG</w:t>
            </w:r>
            <w:r w:rsidRPr="0044001C">
              <w:rPr>
                <w:rFonts w:eastAsiaTheme="minorEastAsia" w:cs="Arial" w:hint="eastAsia"/>
              </w:rPr>
              <w:t>,</w:t>
            </w:r>
            <w:r w:rsidRPr="0044001C">
              <w:rPr>
                <w:rFonts w:eastAsiaTheme="minorEastAsia" w:cs="Arial" w:hint="eastAsia"/>
                <w:lang w:val="en-US"/>
              </w:rPr>
              <w:t>Baicells</w:t>
            </w:r>
            <w:r>
              <w:rPr>
                <w:rFonts w:eastAsiaTheme="minorEastAsia" w:cs="Arial"/>
                <w:lang w:val="en-US"/>
              </w:rPr>
              <w:t xml:space="preserve">, </w:t>
            </w:r>
            <w:r w:rsidRPr="00FF4048">
              <w:rPr>
                <w:rFonts w:eastAsiaTheme="minorEastAsia" w:cs="Arial"/>
                <w:lang w:val="en-US"/>
              </w:rPr>
              <w:t>Ericsson</w:t>
            </w:r>
            <w:r w:rsidR="007777AF">
              <w:rPr>
                <w:rFonts w:eastAsiaTheme="minorEastAsia" w:cs="Arial"/>
                <w:lang w:val="en-US"/>
              </w:rPr>
              <w:t>(7)</w:t>
            </w:r>
          </w:p>
        </w:tc>
        <w:tc>
          <w:tcPr>
            <w:tcW w:w="0" w:type="auto"/>
          </w:tcPr>
          <w:p w14:paraId="7F21AEC5" w14:textId="77777777" w:rsidR="00FF4048" w:rsidRPr="0044001C" w:rsidRDefault="00FF4048" w:rsidP="002D17C3">
            <w:pPr>
              <w:jc w:val="center"/>
              <w:rPr>
                <w:rFonts w:ascii="Times New Roman" w:eastAsiaTheme="minorEastAsia" w:hAnsi="Times New Roman"/>
              </w:rPr>
            </w:pPr>
            <w:r w:rsidRPr="0044001C">
              <w:rPr>
                <w:rFonts w:cs="Arial"/>
              </w:rPr>
              <w:t>Apple, Xiaomi, NTT DOCOMO, OPPO, NEC,</w:t>
            </w:r>
            <w:r w:rsidRPr="0044001C">
              <w:rPr>
                <w:rFonts w:eastAsiaTheme="minorEastAsia" w:cs="Arial"/>
              </w:rPr>
              <w:t xml:space="preserve"> Samsung,</w:t>
            </w:r>
            <w:r w:rsidRPr="0044001C">
              <w:rPr>
                <w:rFonts w:eastAsiaTheme="minorEastAsia" w:cs="Arial" w:hint="eastAsia"/>
              </w:rPr>
              <w:t xml:space="preserve"> Z</w:t>
            </w:r>
            <w:r w:rsidRPr="0044001C">
              <w:rPr>
                <w:rFonts w:eastAsiaTheme="minorEastAsia" w:cs="Arial"/>
              </w:rPr>
              <w:t>TE, Huawei (8)</w:t>
            </w:r>
          </w:p>
        </w:tc>
      </w:tr>
      <w:tr w:rsidR="00FF4048" w:rsidRPr="0044001C" w14:paraId="1F75FED2" w14:textId="77777777" w:rsidTr="002D17C3">
        <w:tc>
          <w:tcPr>
            <w:tcW w:w="1271" w:type="dxa"/>
          </w:tcPr>
          <w:p w14:paraId="46F80C48" w14:textId="77777777" w:rsidR="00FF4048" w:rsidRPr="0044001C" w:rsidRDefault="00FF4048" w:rsidP="002D17C3">
            <w:pPr>
              <w:snapToGrid w:val="0"/>
              <w:spacing w:beforeLines="50" w:afterLines="50" w:after="120"/>
              <w:ind w:left="288"/>
              <w:jc w:val="center"/>
              <w:rPr>
                <w:rFonts w:ascii="Times New Roman" w:eastAsiaTheme="minorEastAsia" w:hAnsi="Times New Roman"/>
              </w:rPr>
            </w:pPr>
            <w:r w:rsidRPr="0044001C">
              <w:rPr>
                <w:rFonts w:ascii="Times New Roman" w:eastAsiaTheme="minorEastAsia" w:hAnsi="Times New Roman"/>
              </w:rPr>
              <w:t>Option-4</w:t>
            </w:r>
          </w:p>
        </w:tc>
        <w:tc>
          <w:tcPr>
            <w:tcW w:w="4252" w:type="dxa"/>
          </w:tcPr>
          <w:p w14:paraId="34FBF954" w14:textId="5E7BCBAF" w:rsidR="00FF4048" w:rsidRPr="0044001C" w:rsidRDefault="00FF4048" w:rsidP="002D17C3">
            <w:pPr>
              <w:jc w:val="center"/>
              <w:rPr>
                <w:rFonts w:ascii="Times New Roman" w:eastAsiaTheme="minorEastAsia" w:hAnsi="Times New Roman"/>
              </w:rPr>
            </w:pPr>
            <w:r w:rsidRPr="0044001C">
              <w:rPr>
                <w:rFonts w:cs="Arial"/>
              </w:rPr>
              <w:t>NTT DOCOMO,</w:t>
            </w:r>
            <w:r w:rsidRPr="0044001C">
              <w:rPr>
                <w:rFonts w:eastAsiaTheme="minorEastAsia" w:cs="Arial" w:hint="eastAsia"/>
              </w:rPr>
              <w:t xml:space="preserve"> Z</w:t>
            </w:r>
            <w:r w:rsidRPr="0044001C">
              <w:rPr>
                <w:rFonts w:eastAsiaTheme="minorEastAsia" w:cs="Arial"/>
              </w:rPr>
              <w:t>TE,</w:t>
            </w:r>
            <w:r w:rsidRPr="0044001C">
              <w:rPr>
                <w:rFonts w:eastAsia="MS Mincho" w:cs="Arial" w:hint="eastAsia"/>
                <w:lang w:eastAsia="ja-JP"/>
              </w:rPr>
              <w:t xml:space="preserve"> S</w:t>
            </w:r>
            <w:r w:rsidRPr="0044001C">
              <w:rPr>
                <w:rFonts w:eastAsia="MS Mincho" w:cs="Arial"/>
                <w:lang w:eastAsia="ja-JP"/>
              </w:rPr>
              <w:t>ony</w:t>
            </w:r>
            <w:r>
              <w:rPr>
                <w:rFonts w:eastAsia="MS Mincho" w:cs="Arial"/>
                <w:lang w:eastAsia="ja-JP"/>
              </w:rPr>
              <w:t>,</w:t>
            </w:r>
            <w:r w:rsidRPr="00FF4048">
              <w:rPr>
                <w:rFonts w:eastAsiaTheme="minorEastAsia" w:cs="Arial"/>
                <w:lang w:val="en-US"/>
              </w:rPr>
              <w:t xml:space="preserve"> Ericsson</w:t>
            </w:r>
          </w:p>
        </w:tc>
        <w:tc>
          <w:tcPr>
            <w:tcW w:w="0" w:type="auto"/>
          </w:tcPr>
          <w:p w14:paraId="4198D6D2" w14:textId="77777777" w:rsidR="00FF4048" w:rsidRPr="0044001C" w:rsidRDefault="00FF4048" w:rsidP="002D17C3">
            <w:pPr>
              <w:jc w:val="center"/>
              <w:rPr>
                <w:rFonts w:ascii="Times New Roman" w:eastAsiaTheme="minorEastAsia" w:hAnsi="Times New Roman"/>
              </w:rPr>
            </w:pPr>
            <w:r w:rsidRPr="0044001C">
              <w:rPr>
                <w:rFonts w:cs="Arial"/>
              </w:rPr>
              <w:t>Xiaomi, OPPO,</w:t>
            </w:r>
            <w:r w:rsidRPr="0044001C">
              <w:rPr>
                <w:rFonts w:eastAsia="MS Mincho" w:cs="Arial"/>
              </w:rPr>
              <w:t xml:space="preserve"> Panasonic,</w:t>
            </w:r>
            <w:r w:rsidRPr="0044001C">
              <w:rPr>
                <w:rFonts w:eastAsiaTheme="minorEastAsia" w:cs="Arial"/>
              </w:rPr>
              <w:t xml:space="preserve"> Samsung</w:t>
            </w:r>
            <w:r w:rsidRPr="0044001C">
              <w:rPr>
                <w:rFonts w:eastAsiaTheme="minorEastAsia" w:cs="Arial" w:hint="eastAsia"/>
              </w:rPr>
              <w:t>,</w:t>
            </w:r>
            <w:r w:rsidRPr="0044001C">
              <w:rPr>
                <w:rFonts w:eastAsiaTheme="minorEastAsia" w:cs="Arial" w:hint="eastAsia"/>
                <w:lang w:val="en-US"/>
              </w:rPr>
              <w:t>Baicells</w:t>
            </w:r>
          </w:p>
        </w:tc>
      </w:tr>
      <w:tr w:rsidR="00FF4048" w:rsidRPr="0044001C" w14:paraId="01B26A68" w14:textId="77777777" w:rsidTr="002D17C3">
        <w:tc>
          <w:tcPr>
            <w:tcW w:w="1271" w:type="dxa"/>
          </w:tcPr>
          <w:p w14:paraId="0CBD918A" w14:textId="77777777" w:rsidR="00FF4048" w:rsidRPr="0044001C" w:rsidRDefault="00FF4048" w:rsidP="002D17C3">
            <w:pPr>
              <w:snapToGrid w:val="0"/>
              <w:spacing w:beforeLines="50" w:afterLines="50" w:after="120"/>
              <w:ind w:left="288"/>
              <w:jc w:val="center"/>
              <w:rPr>
                <w:rFonts w:ascii="Times New Roman" w:eastAsiaTheme="minorEastAsia" w:hAnsi="Times New Roman"/>
              </w:rPr>
            </w:pPr>
            <w:r w:rsidRPr="0044001C">
              <w:rPr>
                <w:rFonts w:ascii="Times New Roman" w:eastAsiaTheme="minorEastAsia" w:hAnsi="Times New Roman"/>
              </w:rPr>
              <w:lastRenderedPageBreak/>
              <w:t>Option-5</w:t>
            </w:r>
          </w:p>
        </w:tc>
        <w:tc>
          <w:tcPr>
            <w:tcW w:w="4252" w:type="dxa"/>
          </w:tcPr>
          <w:p w14:paraId="5F85070A" w14:textId="68DF0096" w:rsidR="00FF4048" w:rsidRPr="0044001C" w:rsidRDefault="00FF4048" w:rsidP="002D17C3">
            <w:pPr>
              <w:jc w:val="center"/>
              <w:rPr>
                <w:rFonts w:ascii="Times New Roman" w:eastAsiaTheme="minorEastAsia" w:hAnsi="Times New Roman"/>
              </w:rPr>
            </w:pPr>
            <w:r w:rsidRPr="0044001C">
              <w:rPr>
                <w:rFonts w:eastAsia="MS Mincho" w:cs="Arial"/>
              </w:rPr>
              <w:t>Panasonic,</w:t>
            </w:r>
            <w:r w:rsidRPr="0044001C">
              <w:rPr>
                <w:rFonts w:eastAsiaTheme="minorEastAsia" w:cs="Arial" w:hint="eastAsia"/>
              </w:rPr>
              <w:t xml:space="preserve"> C</w:t>
            </w:r>
            <w:r w:rsidRPr="0044001C">
              <w:rPr>
                <w:rFonts w:eastAsiaTheme="minorEastAsia" w:cs="Arial"/>
              </w:rPr>
              <w:t>MCC</w:t>
            </w:r>
            <w:r w:rsidRPr="0044001C">
              <w:rPr>
                <w:rFonts w:eastAsiaTheme="minorEastAsia" w:cs="Arial" w:hint="eastAsia"/>
              </w:rPr>
              <w:t>,</w:t>
            </w:r>
            <w:r w:rsidRPr="0044001C">
              <w:rPr>
                <w:rFonts w:eastAsiaTheme="minorEastAsia" w:cs="Arial"/>
              </w:rPr>
              <w:t>CAICT</w:t>
            </w:r>
            <w:r>
              <w:rPr>
                <w:rFonts w:eastAsiaTheme="minorEastAsia" w:cs="Arial"/>
              </w:rPr>
              <w:t>,</w:t>
            </w:r>
            <w:r w:rsidRPr="00FF4048">
              <w:rPr>
                <w:rFonts w:eastAsiaTheme="minorEastAsia" w:cs="Arial"/>
                <w:lang w:val="en-US"/>
              </w:rPr>
              <w:t xml:space="preserve"> Ericsson</w:t>
            </w:r>
          </w:p>
        </w:tc>
        <w:tc>
          <w:tcPr>
            <w:tcW w:w="0" w:type="auto"/>
          </w:tcPr>
          <w:p w14:paraId="0D6BF569" w14:textId="77777777" w:rsidR="00FF4048" w:rsidRPr="0044001C" w:rsidRDefault="00FF4048" w:rsidP="002D17C3">
            <w:pPr>
              <w:jc w:val="center"/>
              <w:rPr>
                <w:rFonts w:ascii="Times New Roman" w:eastAsiaTheme="minorEastAsia" w:hAnsi="Times New Roman"/>
              </w:rPr>
            </w:pPr>
            <w:r w:rsidRPr="0044001C">
              <w:rPr>
                <w:rFonts w:cs="Arial"/>
              </w:rPr>
              <w:t>Apple, Xiaomi, NTT DOCOMO, NEC,</w:t>
            </w:r>
            <w:r w:rsidRPr="0044001C">
              <w:rPr>
                <w:rFonts w:eastAsiaTheme="minorEastAsia" w:cs="Arial"/>
              </w:rPr>
              <w:t xml:space="preserve"> Samsung,</w:t>
            </w:r>
            <w:r w:rsidRPr="0044001C">
              <w:rPr>
                <w:rFonts w:eastAsiaTheme="minorEastAsia" w:cs="Arial" w:hint="eastAsia"/>
              </w:rPr>
              <w:t xml:space="preserve"> Z</w:t>
            </w:r>
            <w:r w:rsidRPr="0044001C">
              <w:rPr>
                <w:rFonts w:eastAsiaTheme="minorEastAsia" w:cs="Arial"/>
              </w:rPr>
              <w:t>TE</w:t>
            </w:r>
            <w:r w:rsidRPr="0044001C">
              <w:rPr>
                <w:rFonts w:eastAsiaTheme="minorEastAsia" w:cs="Arial" w:hint="eastAsia"/>
              </w:rPr>
              <w:t>，</w:t>
            </w:r>
            <w:r w:rsidRPr="0044001C">
              <w:rPr>
                <w:rFonts w:eastAsiaTheme="minorEastAsia" w:cs="Arial"/>
              </w:rPr>
              <w:t>Huawei,</w:t>
            </w:r>
            <w:r w:rsidRPr="0044001C">
              <w:rPr>
                <w:rFonts w:eastAsiaTheme="minorEastAsia" w:cs="Arial" w:hint="eastAsia"/>
                <w:lang w:val="en-US"/>
              </w:rPr>
              <w:t xml:space="preserve"> Baicells</w:t>
            </w:r>
          </w:p>
        </w:tc>
      </w:tr>
      <w:tr w:rsidR="00FF4048" w:rsidRPr="00B669BD" w14:paraId="76FEDE2C" w14:textId="77777777" w:rsidTr="002D17C3">
        <w:tc>
          <w:tcPr>
            <w:tcW w:w="1271" w:type="dxa"/>
          </w:tcPr>
          <w:p w14:paraId="34A8C02B" w14:textId="77777777" w:rsidR="00FF4048" w:rsidRPr="0044001C" w:rsidRDefault="00FF4048" w:rsidP="002D17C3">
            <w:pPr>
              <w:snapToGrid w:val="0"/>
              <w:spacing w:beforeLines="50" w:afterLines="50" w:after="120"/>
              <w:ind w:left="288"/>
              <w:jc w:val="center"/>
              <w:rPr>
                <w:rFonts w:ascii="Times New Roman" w:eastAsiaTheme="minorEastAsia" w:hAnsi="Times New Roman"/>
              </w:rPr>
            </w:pPr>
            <w:r w:rsidRPr="0044001C">
              <w:rPr>
                <w:rFonts w:ascii="Times New Roman" w:eastAsiaTheme="minorEastAsia" w:hAnsi="Times New Roman"/>
              </w:rPr>
              <w:t>Option-6</w:t>
            </w:r>
          </w:p>
        </w:tc>
        <w:tc>
          <w:tcPr>
            <w:tcW w:w="4252" w:type="dxa"/>
          </w:tcPr>
          <w:p w14:paraId="48E107CA" w14:textId="2F9E5600" w:rsidR="00FF4048" w:rsidRPr="0044001C" w:rsidRDefault="00FF4048" w:rsidP="002D17C3">
            <w:pPr>
              <w:jc w:val="center"/>
              <w:rPr>
                <w:rFonts w:ascii="Times New Roman" w:eastAsiaTheme="minorEastAsia" w:hAnsi="Times New Roman"/>
              </w:rPr>
            </w:pPr>
            <w:r w:rsidRPr="0044001C">
              <w:rPr>
                <w:rFonts w:eastAsiaTheme="minorEastAsia" w:cs="Arial"/>
              </w:rPr>
              <w:t>Samsung,</w:t>
            </w:r>
            <w:r w:rsidRPr="0044001C">
              <w:rPr>
                <w:rFonts w:eastAsia="MS Mincho" w:cs="Arial" w:hint="eastAsia"/>
                <w:lang w:eastAsia="ja-JP"/>
              </w:rPr>
              <w:t xml:space="preserve"> S</w:t>
            </w:r>
            <w:r w:rsidRPr="0044001C">
              <w:rPr>
                <w:rFonts w:eastAsia="MS Mincho" w:cs="Arial"/>
                <w:lang w:eastAsia="ja-JP"/>
              </w:rPr>
              <w:t>ony</w:t>
            </w:r>
            <w:r>
              <w:rPr>
                <w:rFonts w:eastAsia="MS Mincho" w:cs="Arial"/>
                <w:lang w:eastAsia="ja-JP"/>
              </w:rPr>
              <w:t>,</w:t>
            </w:r>
            <w:r w:rsidRPr="00FF4048">
              <w:rPr>
                <w:rFonts w:eastAsiaTheme="minorEastAsia" w:cs="Arial"/>
                <w:lang w:val="en-US"/>
              </w:rPr>
              <w:t xml:space="preserve"> Ericsson</w:t>
            </w:r>
          </w:p>
        </w:tc>
        <w:tc>
          <w:tcPr>
            <w:tcW w:w="0" w:type="auto"/>
          </w:tcPr>
          <w:p w14:paraId="7BF4BCE0" w14:textId="77777777" w:rsidR="00FF4048" w:rsidRPr="00B669BD" w:rsidRDefault="00FF4048" w:rsidP="002D17C3">
            <w:pPr>
              <w:jc w:val="center"/>
              <w:rPr>
                <w:rFonts w:ascii="Times New Roman" w:eastAsiaTheme="minorEastAsia" w:hAnsi="Times New Roman"/>
              </w:rPr>
            </w:pPr>
            <w:r w:rsidRPr="0044001C">
              <w:rPr>
                <w:rFonts w:cs="Arial"/>
              </w:rPr>
              <w:t>Xiaomi, NTT DOCOMO, OPPO,</w:t>
            </w:r>
            <w:r w:rsidRPr="0044001C">
              <w:rPr>
                <w:rFonts w:eastAsia="MS Mincho" w:cs="Arial"/>
              </w:rPr>
              <w:t xml:space="preserve"> Panasonic</w:t>
            </w:r>
            <w:r w:rsidRPr="0044001C">
              <w:rPr>
                <w:rFonts w:asciiTheme="minorEastAsia" w:eastAsiaTheme="minorEastAsia" w:hAnsiTheme="minorEastAsia" w:cs="Arial"/>
              </w:rPr>
              <w:t>,</w:t>
            </w:r>
            <w:r w:rsidRPr="0044001C">
              <w:rPr>
                <w:rFonts w:eastAsiaTheme="minorEastAsia" w:cs="Arial"/>
              </w:rPr>
              <w:t xml:space="preserve"> Samsung,</w:t>
            </w:r>
            <w:r w:rsidRPr="0044001C">
              <w:rPr>
                <w:rFonts w:eastAsiaTheme="minorEastAsia" w:cs="Arial" w:hint="eastAsia"/>
              </w:rPr>
              <w:t xml:space="preserve"> Z</w:t>
            </w:r>
            <w:r w:rsidRPr="0044001C">
              <w:rPr>
                <w:rFonts w:eastAsiaTheme="minorEastAsia" w:cs="Arial"/>
              </w:rPr>
              <w:t>TE,</w:t>
            </w:r>
            <w:r w:rsidRPr="0044001C">
              <w:rPr>
                <w:rFonts w:eastAsiaTheme="minorEastAsia" w:cs="Arial" w:hint="eastAsia"/>
                <w:lang w:val="en-US"/>
              </w:rPr>
              <w:t xml:space="preserve"> Baicells</w:t>
            </w:r>
          </w:p>
        </w:tc>
      </w:tr>
    </w:tbl>
    <w:p w14:paraId="6E27138D" w14:textId="5E8E8C11" w:rsidR="00595D05" w:rsidRDefault="00595D05" w:rsidP="00595D05">
      <w:pPr>
        <w:snapToGrid w:val="0"/>
        <w:spacing w:beforeLines="50" w:before="120" w:afterLines="50" w:after="120"/>
        <w:rPr>
          <w:rFonts w:eastAsiaTheme="minorEastAsia"/>
        </w:rPr>
      </w:pPr>
      <w:r>
        <w:rPr>
          <w:rFonts w:eastAsiaTheme="minorEastAsia"/>
        </w:rPr>
        <w:t xml:space="preserve">And the following agreement has been achieved </w:t>
      </w:r>
      <w:r w:rsidR="004D7BB7">
        <w:rPr>
          <w:rFonts w:eastAsiaTheme="minorEastAsia"/>
        </w:rPr>
        <w:t>in GTW session in 17</w:t>
      </w:r>
      <w:r w:rsidR="004D7BB7" w:rsidRPr="006D4825">
        <w:rPr>
          <w:rFonts w:eastAsiaTheme="minorEastAsia"/>
          <w:vertAlign w:val="superscript"/>
        </w:rPr>
        <w:t>th</w:t>
      </w:r>
      <w:r w:rsidR="004D7BB7">
        <w:rPr>
          <w:rFonts w:eastAsiaTheme="minorEastAsia"/>
        </w:rPr>
        <w:t>, Nov.</w:t>
      </w:r>
    </w:p>
    <w:p w14:paraId="0BD370E4" w14:textId="77777777" w:rsidR="00595D05" w:rsidRPr="00AC5B08" w:rsidRDefault="00595D05" w:rsidP="00595D05">
      <w:pPr>
        <w:rPr>
          <w:lang w:eastAsia="x-none"/>
        </w:rPr>
      </w:pPr>
      <w:r w:rsidRPr="00AC5B08">
        <w:rPr>
          <w:b/>
          <w:highlight w:val="green"/>
          <w:lang w:eastAsia="x-none"/>
        </w:rPr>
        <w:t>Agreement</w:t>
      </w:r>
    </w:p>
    <w:p w14:paraId="499E8324" w14:textId="77777777" w:rsidR="00595D05" w:rsidRPr="00AC5B08" w:rsidRDefault="00595D05" w:rsidP="00595D05">
      <w:pPr>
        <w:rPr>
          <w:lang w:eastAsia="x-none"/>
        </w:rPr>
      </w:pPr>
      <w:r w:rsidRPr="00AC5B08">
        <w:rPr>
          <w:lang w:eastAsia="x-none"/>
        </w:rPr>
        <w:t xml:space="preserve">For Type-1 HARQ codebook, </w:t>
      </w:r>
      <w:r>
        <w:rPr>
          <w:lang w:eastAsia="x-none"/>
        </w:rPr>
        <w:t>t</w:t>
      </w:r>
      <w:r w:rsidRPr="00AC5B08">
        <w:rPr>
          <w:lang w:eastAsia="x-none"/>
        </w:rPr>
        <w:t>he UE will</w:t>
      </w:r>
      <w:r>
        <w:rPr>
          <w:lang w:eastAsia="x-none"/>
        </w:rPr>
        <w:t xml:space="preserve"> consistently</w:t>
      </w:r>
      <w:r w:rsidRPr="00AC5B08">
        <w:rPr>
          <w:lang w:eastAsia="x-none"/>
        </w:rPr>
        <w:t xml:space="preserve"> report NACK-only for the feedback-disabled HARQ process regardless of decoding</w:t>
      </w:r>
      <w:r>
        <w:rPr>
          <w:lang w:eastAsia="x-none"/>
        </w:rPr>
        <w:t xml:space="preserve"> results of corresponding PDSCH.</w:t>
      </w:r>
    </w:p>
    <w:p w14:paraId="6B99B89B" w14:textId="36A7654E" w:rsidR="00595D05" w:rsidRPr="00595D05" w:rsidRDefault="004D7BB7" w:rsidP="004D7BB7">
      <w:pPr>
        <w:snapToGrid w:val="0"/>
        <w:spacing w:beforeLines="50" w:before="120" w:afterLines="50" w:after="120"/>
        <w:rPr>
          <w:rFonts w:eastAsiaTheme="minorEastAsia"/>
        </w:rPr>
      </w:pPr>
      <w:r>
        <w:rPr>
          <w:rFonts w:eastAsiaTheme="minorEastAsia" w:hint="eastAsia"/>
        </w:rPr>
        <w:t>T</w:t>
      </w:r>
      <w:r>
        <w:rPr>
          <w:rFonts w:eastAsiaTheme="minorEastAsia"/>
        </w:rPr>
        <w:t>hen, this topic is closed.</w:t>
      </w:r>
    </w:p>
    <w:p w14:paraId="2C1687A1"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Type-2 Codebook: </w:t>
      </w:r>
    </w:p>
    <w:p w14:paraId="775DE6AE"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68678E14" w14:textId="77777777" w:rsidR="00AA4AC8" w:rsidRDefault="0082369C">
      <w:pPr>
        <w:snapToGrid w:val="0"/>
        <w:spacing w:beforeLines="50" w:before="120" w:afterLines="50" w:after="120"/>
        <w:ind w:left="288"/>
        <w:rPr>
          <w:rFonts w:eastAsiaTheme="minorEastAsia"/>
        </w:rPr>
      </w:pPr>
      <w:r>
        <w:rPr>
          <w:rFonts w:eastAsiaTheme="minorEastAsia"/>
        </w:rPr>
        <w:t>For</w:t>
      </w:r>
      <w:r>
        <w:rPr>
          <w:rFonts w:eastAsiaTheme="minorEastAsia" w:hint="eastAsia"/>
        </w:rPr>
        <w:t xml:space="preserve"> </w:t>
      </w:r>
      <w:r>
        <w:rPr>
          <w:rFonts w:eastAsiaTheme="minorEastAsia"/>
        </w:rPr>
        <w:t xml:space="preserve">the Type-2 Codebook (Dynamic codebook), based on the previous agreement, w.r.t the C-DAI and T-DAI counting </w:t>
      </w:r>
      <w:r>
        <w:rPr>
          <w:rFonts w:eastAsiaTheme="minorEastAsia" w:hint="eastAsia"/>
        </w:rPr>
        <w:t>of</w:t>
      </w:r>
      <w:r>
        <w:rPr>
          <w:rFonts w:eastAsiaTheme="minorEastAsia"/>
        </w:rPr>
        <w:t xml:space="preserve"> the PDSCH with feedback disabled HARQ process, following options are listed:</w:t>
      </w:r>
    </w:p>
    <w:p w14:paraId="67C2929E" w14:textId="77777777" w:rsidR="00AA4AC8" w:rsidRDefault="0082369C">
      <w:pPr>
        <w:pStyle w:val="afc"/>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Option-1: For codebook generation, the UE assume that the C-DAI and T-DAI of the DCI of PDSCH with feedback-disabled process is the same as the C-DAI and T-DAI of the most recently transmitted DCI of PDSCH with feedback-enabled process by gNB. FFS: the case that all DCIs of PDSCH are associated with feedback-disabled HARQ process.</w:t>
      </w:r>
    </w:p>
    <w:p w14:paraId="2E7FB32E" w14:textId="77777777" w:rsidR="00AA4AC8" w:rsidRDefault="0082369C">
      <w:pPr>
        <w:pStyle w:val="afc"/>
        <w:numPr>
          <w:ilvl w:val="1"/>
          <w:numId w:val="15"/>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Supported by [</w:t>
      </w:r>
      <w:r>
        <w:rPr>
          <w:rFonts w:ascii="Times New Roman" w:eastAsiaTheme="minorEastAsia" w:hAnsi="Times New Roman"/>
          <w:color w:val="000000" w:themeColor="text1"/>
          <w:sz w:val="20"/>
          <w:szCs w:val="20"/>
        </w:rPr>
        <w:t>Huawei</w:t>
      </w:r>
      <w:r>
        <w:rPr>
          <w:rFonts w:ascii="Times New Roman" w:eastAsiaTheme="minorEastAsia" w:hAnsi="Times New Roman"/>
          <w:sz w:val="20"/>
          <w:szCs w:val="20"/>
        </w:rPr>
        <w:t>, Nokia Spreadtrum, CATT, OPPO, Nokia, CMCC, Xiaomi, DCM, Baicell, Sony, Panasonic, Ericsson, Apple, LG,QC]</w:t>
      </w:r>
    </w:p>
    <w:p w14:paraId="7409C83F" w14:textId="77777777" w:rsidR="00AA4AC8" w:rsidRDefault="0082369C">
      <w:pPr>
        <w:pStyle w:val="afc"/>
        <w:snapToGrid w:val="0"/>
        <w:spacing w:beforeLines="50" w:before="120" w:afterLines="50" w:after="120"/>
        <w:ind w:left="1264"/>
        <w:rPr>
          <w:rFonts w:ascii="Times New Roman" w:hAnsi="Times New Roman"/>
          <w:sz w:val="20"/>
          <w:szCs w:val="20"/>
        </w:rPr>
      </w:pPr>
      <w:r>
        <w:rPr>
          <w:rFonts w:ascii="Times New Roman" w:eastAsiaTheme="minorEastAsia" w:hAnsi="Times New Roman"/>
          <w:sz w:val="20"/>
          <w:szCs w:val="20"/>
        </w:rPr>
        <w:t xml:space="preserve">Regarding this option, as highlighted by companies that this option can mitigate the impacts of DCI missing detection. W.r.t the detailed spec impact, </w:t>
      </w:r>
      <w:r>
        <w:rPr>
          <w:rFonts w:ascii="Times New Roman" w:hAnsi="Times New Roman"/>
          <w:sz w:val="20"/>
          <w:szCs w:val="20"/>
        </w:rPr>
        <w:t xml:space="preserve">for </w:t>
      </w:r>
      <w:r>
        <w:rPr>
          <w:rFonts w:ascii="Times New Roman" w:eastAsia="Times New Roman" w:hAnsi="Times New Roman"/>
          <w:sz w:val="20"/>
          <w:szCs w:val="20"/>
        </w:rPr>
        <w:t xml:space="preserve">the </w:t>
      </w:r>
      <w:r>
        <w:rPr>
          <w:rFonts w:ascii="Times New Roman" w:hAnsi="Times New Roman"/>
          <w:sz w:val="20"/>
          <w:szCs w:val="20"/>
        </w:rPr>
        <w:t>DCIs of PDSCH with feedback-disabled HARQ processes, the values of the C-DAI and T-DAI are the same of the C-DAI and T-DAI of the most recent DCI of a PDSCH with a feedback-enabled HARQ process. And following UE’s behavior should also be specified as:</w:t>
      </w:r>
    </w:p>
    <w:p w14:paraId="3653FF3D" w14:textId="77777777" w:rsidR="00AA4AC8" w:rsidRDefault="0082369C">
      <w:pPr>
        <w:pStyle w:val="afc"/>
        <w:snapToGrid w:val="0"/>
        <w:spacing w:beforeLines="50" w:before="120" w:afterLines="50" w:after="120"/>
        <w:ind w:left="1264"/>
        <w:rPr>
          <w:rFonts w:ascii="Times New Roman" w:hAnsi="Times New Roman"/>
          <w:sz w:val="20"/>
          <w:szCs w:val="20"/>
        </w:rPr>
      </w:pPr>
      <w:r>
        <w:rPr>
          <w:rFonts w:ascii="Times New Roman" w:hAnsi="Times New Roman"/>
          <w:sz w:val="20"/>
          <w:szCs w:val="20"/>
        </w:rPr>
        <w:t>The UE should use the DAI in DCI of feedback-disabled HARQ process to detect if a previous DCI of feedback-enabled HARQ processes has been missed. In such case, the UE should chose the HARQ codebook size based on the DAI in DCI of the feedback-disabled HARQ process, and the feedback-enabled HARQ process detected to be missed should be NACKed [Ericsson].</w:t>
      </w:r>
    </w:p>
    <w:p w14:paraId="4F73A5CB" w14:textId="77777777" w:rsidR="00AA4AC8" w:rsidRDefault="0082369C">
      <w:pPr>
        <w:pStyle w:val="afc"/>
        <w:snapToGrid w:val="0"/>
        <w:spacing w:beforeLines="50" w:before="120" w:afterLines="50" w:after="120"/>
        <w:ind w:left="1264"/>
        <w:rPr>
          <w:rFonts w:ascii="Times New Roman" w:hAnsi="Times New Roman"/>
          <w:sz w:val="20"/>
          <w:szCs w:val="20"/>
        </w:rPr>
      </w:pPr>
      <w:r>
        <w:rPr>
          <w:rFonts w:ascii="Times New Roman" w:hAnsi="Times New Roman"/>
          <w:sz w:val="20"/>
          <w:szCs w:val="20"/>
        </w:rPr>
        <w:t>Moreover, regarding the FFS bullet, following part is proposed by [Huawei]:</w:t>
      </w:r>
    </w:p>
    <w:p w14:paraId="22AC4666" w14:textId="77777777" w:rsidR="00AA4AC8" w:rsidRDefault="0082369C">
      <w:pPr>
        <w:pStyle w:val="afc"/>
        <w:snapToGrid w:val="0"/>
        <w:spacing w:beforeLines="50" w:before="120" w:afterLines="50" w:after="120"/>
        <w:ind w:left="1264"/>
        <w:rPr>
          <w:rFonts w:ascii="Times New Roman" w:hAnsi="Times New Roman"/>
          <w:sz w:val="20"/>
          <w:szCs w:val="20"/>
        </w:rPr>
      </w:pPr>
      <w:r>
        <w:rPr>
          <w:rFonts w:ascii="Times New Roman" w:hAnsi="Times New Roman"/>
          <w:i/>
          <w:sz w:val="20"/>
          <w:szCs w:val="20"/>
        </w:rPr>
        <w:t xml:space="preserve">Up to current PDCCH monitor occasion, if all DCIs of PDSCH are associated with feedback disabled HARQ process, the value of C-DAI and T-DAI set to </w:t>
      </w:r>
      <m:oMath>
        <m:sSubSup>
          <m:sSubSupPr>
            <m:ctrlPr>
              <w:rPr>
                <w:rFonts w:ascii="Cambria Math" w:hAnsi="Cambria Math"/>
                <w:sz w:val="20"/>
                <w:szCs w:val="20"/>
              </w:rPr>
            </m:ctrlPr>
          </m:sSubSupPr>
          <m:e>
            <m:r>
              <m:rPr>
                <m:sty m:val="p"/>
              </m:rPr>
              <w:rPr>
                <w:rFonts w:ascii="Cambria Math" w:hAnsi="Cambria Math"/>
                <w:sz w:val="20"/>
                <w:szCs w:val="20"/>
              </w:rPr>
              <m:t>V</m:t>
            </m:r>
          </m:e>
          <m:sub>
            <m:r>
              <m:rPr>
                <m:nor/>
              </m:rPr>
              <w:rPr>
                <w:rFonts w:ascii="Times New Roman" w:hAnsi="Times New Roman"/>
                <w:sz w:val="20"/>
                <w:szCs w:val="20"/>
              </w:rPr>
              <m:t>C-DAI</m:t>
            </m:r>
          </m:sub>
          <m:sup>
            <m:r>
              <m:rPr>
                <m:nor/>
              </m:rPr>
              <w:rPr>
                <w:rFonts w:ascii="Times New Roman" w:hAnsi="Times New Roman"/>
                <w:sz w:val="20"/>
                <w:szCs w:val="20"/>
              </w:rPr>
              <m:t>DL</m:t>
            </m:r>
          </m:sup>
        </m:sSubSup>
        <m:r>
          <m:rPr>
            <m:sty m:val="p"/>
          </m:rPr>
          <w:rPr>
            <w:rFonts w:ascii="Cambria Math" w:hAnsi="Cambria Math"/>
            <w:sz w:val="20"/>
            <w:szCs w:val="20"/>
          </w:rPr>
          <m:t>=4</m:t>
        </m:r>
      </m:oMath>
      <w:r>
        <w:rPr>
          <w:rFonts w:ascii="Times New Roman" w:hAnsi="Times New Roman"/>
          <w:sz w:val="20"/>
          <w:szCs w:val="20"/>
        </w:rPr>
        <w:t xml:space="preserve"> </w:t>
      </w:r>
      <w:r>
        <w:rPr>
          <w:rFonts w:ascii="Times New Roman" w:hAnsi="Times New Roman"/>
          <w:i/>
          <w:sz w:val="20"/>
          <w:szCs w:val="20"/>
        </w:rPr>
        <w:t>and</w:t>
      </w:r>
      <w:r>
        <w:rPr>
          <w:rFonts w:ascii="Times New Roman" w:hAnsi="Times New Roman"/>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V</m:t>
            </m:r>
          </m:e>
          <m:sub>
            <m:r>
              <m:rPr>
                <m:nor/>
              </m:rPr>
              <w:rPr>
                <w:rFonts w:ascii="Times New Roman" w:hAnsi="Times New Roman"/>
                <w:sz w:val="20"/>
                <w:szCs w:val="20"/>
              </w:rPr>
              <m:t>T-DAI</m:t>
            </m:r>
          </m:sub>
          <m:sup>
            <m:r>
              <m:rPr>
                <m:nor/>
              </m:rPr>
              <w:rPr>
                <w:rFonts w:ascii="Times New Roman" w:hAnsi="Times New Roman"/>
                <w:sz w:val="20"/>
                <w:szCs w:val="20"/>
              </w:rPr>
              <m:t>DL</m:t>
            </m:r>
          </m:sup>
        </m:sSubSup>
        <m:r>
          <m:rPr>
            <m:sty m:val="p"/>
          </m:rPr>
          <w:rPr>
            <w:rFonts w:ascii="Cambria Math" w:hAnsi="Cambria Math"/>
            <w:sz w:val="20"/>
            <w:szCs w:val="20"/>
          </w:rPr>
          <m:t>=4</m:t>
        </m:r>
      </m:oMath>
      <w:r>
        <w:rPr>
          <w:rFonts w:ascii="Times New Roman" w:hAnsi="Times New Roman"/>
          <w:sz w:val="20"/>
          <w:szCs w:val="20"/>
        </w:rPr>
        <w:t>.</w:t>
      </w:r>
    </w:p>
    <w:p w14:paraId="46156EE0" w14:textId="77777777" w:rsidR="00AA4AC8" w:rsidRDefault="0082369C">
      <w:pPr>
        <w:pStyle w:val="afc"/>
        <w:numPr>
          <w:ilvl w:val="0"/>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Option-2: The C-DAI and T-DAI are ignored by the UE regardless of the value for Type 2 codebook generation.</w:t>
      </w:r>
    </w:p>
    <w:p w14:paraId="3F4B6D94" w14:textId="77777777" w:rsidR="00AA4AC8" w:rsidRDefault="0082369C">
      <w:pPr>
        <w:pStyle w:val="afc"/>
        <w:numPr>
          <w:ilvl w:val="1"/>
          <w:numId w:val="14"/>
        </w:numPr>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hint="eastAsia"/>
          <w:sz w:val="20"/>
          <w:szCs w:val="20"/>
        </w:rPr>
        <w:t>Supported by</w:t>
      </w:r>
      <w:r>
        <w:rPr>
          <w:rFonts w:ascii="Times New Roman" w:eastAsiaTheme="minorEastAsia" w:hAnsi="Times New Roman"/>
          <w:sz w:val="20"/>
          <w:szCs w:val="20"/>
        </w:rPr>
        <w:t xml:space="preserve"> </w:t>
      </w:r>
      <w:r>
        <w:rPr>
          <w:rFonts w:ascii="Times New Roman" w:eastAsiaTheme="minorEastAsia" w:hAnsi="Times New Roman" w:hint="eastAsia"/>
          <w:sz w:val="20"/>
          <w:szCs w:val="20"/>
        </w:rPr>
        <w:t>[</w:t>
      </w:r>
      <w:r>
        <w:rPr>
          <w:rFonts w:ascii="Times New Roman" w:eastAsiaTheme="minorEastAsia" w:hAnsi="Times New Roman"/>
          <w:sz w:val="20"/>
          <w:szCs w:val="20"/>
        </w:rPr>
        <w:t>vivo, NEC, Samsung, ZTE</w:t>
      </w:r>
      <w:r>
        <w:rPr>
          <w:rFonts w:ascii="Times New Roman" w:eastAsiaTheme="minorEastAsia" w:hAnsi="Times New Roman" w:hint="eastAsia"/>
          <w:sz w:val="20"/>
          <w:szCs w:val="20"/>
        </w:rPr>
        <w:t>]</w:t>
      </w:r>
    </w:p>
    <w:p w14:paraId="4BB79750" w14:textId="77777777" w:rsidR="00AA4AC8" w:rsidRDefault="0082369C">
      <w:pPr>
        <w:pStyle w:val="afc"/>
        <w:snapToGrid w:val="0"/>
        <w:spacing w:beforeLines="50" w:before="120" w:afterLines="50" w:after="120"/>
        <w:ind w:left="1200"/>
        <w:rPr>
          <w:rFonts w:ascii="Times New Roman" w:eastAsiaTheme="minorEastAsia" w:hAnsi="Times New Roman"/>
          <w:sz w:val="20"/>
          <w:szCs w:val="20"/>
        </w:rPr>
      </w:pPr>
      <w:r>
        <w:rPr>
          <w:rFonts w:ascii="Times New Roman" w:eastAsiaTheme="minorEastAsia" w:hAnsi="Times New Roman"/>
          <w:sz w:val="20"/>
          <w:szCs w:val="20"/>
        </w:rPr>
        <w:t xml:space="preserve">Regarding this option, as highlighted by companies that in Option-1, additional specification impacts and a modification will require software updates at the UE and the gNB/NTN and new IIoT for deployments. And w.r.t the potential improvement on the missing detection, since only HARQ-ACK of PDSCH with feedback-enabled HARQ processes is included in Type-2 HARQ codebook, the robustness of HARQ-ACK codebook size determination with the C-DAI and T-DAI in DCI for feedback-enabled processes is the same as in a territorial network. As pointed by [Samsung], assuming an equal split between enabled/disabled HARQ processes (a favorable assumption for using DAIs in DCI formats with disabled HARQ-ACK as it maximizes disabled HARQ processes for possibly obtaining same UE buffer management as in Rel-16), an equivalent benefit for the accuracy of the HARQ-ACK codebook construction would be as if the operation was with 0.5% BLER for the DCI format, instead of 1%. That would practically have no impact on throughput. </w:t>
      </w:r>
    </w:p>
    <w:p w14:paraId="5D34BC04" w14:textId="77777777" w:rsidR="00AA4AC8" w:rsidRDefault="0082369C">
      <w:pPr>
        <w:snapToGrid w:val="0"/>
        <w:spacing w:beforeLines="50" w:before="120" w:afterLines="50" w:after="120"/>
        <w:ind w:left="288"/>
        <w:rPr>
          <w:rFonts w:eastAsiaTheme="minorEastAsia"/>
        </w:rPr>
      </w:pPr>
      <w:r>
        <w:rPr>
          <w:rFonts w:eastAsiaTheme="minorEastAsia"/>
        </w:rPr>
        <w:lastRenderedPageBreak/>
        <w:t>Based on the inputs above, although the views are still no</w:t>
      </w:r>
      <w:r>
        <w:rPr>
          <w:rFonts w:eastAsiaTheme="minorEastAsia" w:hint="eastAsia"/>
        </w:rPr>
        <w:t>t</w:t>
      </w:r>
      <w:r>
        <w:rPr>
          <w:rFonts w:eastAsiaTheme="minorEastAsia"/>
        </w:rPr>
        <w:t xml:space="preserve"> converged, it seems that at least all required details for Option-1 is clear with majority support. Then, from moderator perspective, it’s preferred to further check the views from companies with consideration on all details in following proposals:</w:t>
      </w:r>
    </w:p>
    <w:p w14:paraId="4B1DCB21" w14:textId="77777777" w:rsidR="00AA4AC8" w:rsidRDefault="0082369C">
      <w:pPr>
        <w:snapToGrid w:val="0"/>
        <w:spacing w:beforeLines="50" w:before="120" w:afterLines="50" w:after="120"/>
        <w:ind w:firstLine="288"/>
        <w:rPr>
          <w:rFonts w:eastAsiaTheme="minorEastAsia"/>
          <w:highlight w:val="yellow"/>
        </w:rPr>
      </w:pPr>
      <w:r>
        <w:rPr>
          <w:b/>
          <w:color w:val="000000" w:themeColor="text1"/>
          <w:highlight w:val="yellow"/>
        </w:rPr>
        <w:t>[Initial Proposal 1.2.1-1]</w:t>
      </w:r>
    </w:p>
    <w:p w14:paraId="51069D7C" w14:textId="77777777" w:rsidR="00AA4AC8" w:rsidRDefault="0082369C">
      <w:pPr>
        <w:snapToGrid w:val="0"/>
        <w:spacing w:after="0"/>
        <w:ind w:left="288"/>
        <w:rPr>
          <w:color w:val="000000" w:themeColor="text1"/>
          <w:highlight w:val="yellow"/>
        </w:rPr>
      </w:pPr>
      <w:r>
        <w:rPr>
          <w:color w:val="000000" w:themeColor="text1"/>
          <w:highlight w:val="yellow"/>
        </w:rPr>
        <w:t xml:space="preserve">For the DCI of PDSCH with feedback-disabled HARQ processes, the C-DAI and T-DAI are the same of the C-DAI and T-DAI of the most recent DCI of PDSCH with feedback-enabled processes, despite they are not incremented. </w:t>
      </w:r>
    </w:p>
    <w:p w14:paraId="05D4787D" w14:textId="77777777" w:rsidR="00AA4AC8" w:rsidRDefault="0082369C">
      <w:pPr>
        <w:pStyle w:val="afc"/>
        <w:numPr>
          <w:ilvl w:val="0"/>
          <w:numId w:val="14"/>
        </w:numPr>
        <w:adjustRightInd w:val="0"/>
        <w:snapToGrid w:val="0"/>
        <w:ind w:left="777"/>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w:t>
      </w:r>
    </w:p>
    <w:p w14:paraId="431F101A" w14:textId="77777777" w:rsidR="00AA4AC8" w:rsidRDefault="0082369C">
      <w:pPr>
        <w:pStyle w:val="afc"/>
        <w:numPr>
          <w:ilvl w:val="0"/>
          <w:numId w:val="14"/>
        </w:numPr>
        <w:adjustRightInd w:val="0"/>
        <w:snapToGrid w:val="0"/>
        <w:ind w:left="777"/>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If all DCIs of PDSCH are associated with feedback disabled HARQ process, the value of C-DAI and T-DAI set to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C-DAI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Pr>
          <w:rFonts w:ascii="Times New Roman" w:eastAsiaTheme="minorEastAsia" w:hAnsi="Times New Roman"/>
          <w:sz w:val="20"/>
          <w:szCs w:val="20"/>
          <w:highlight w:val="yellow"/>
        </w:rPr>
        <w:t xml:space="preserve"> and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T-DAI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Pr>
          <w:rFonts w:ascii="Times New Roman" w:eastAsiaTheme="minorEastAsia" w:hAnsi="Times New Roman"/>
          <w:sz w:val="20"/>
          <w:szCs w:val="20"/>
          <w:highlight w:val="yellow"/>
        </w:rPr>
        <w:t>.</w:t>
      </w:r>
    </w:p>
    <w:p w14:paraId="19B9943B" w14:textId="77777777" w:rsidR="00AA4AC8" w:rsidRDefault="0082369C">
      <w:pPr>
        <w:snapToGrid w:val="0"/>
        <w:spacing w:beforeLines="50" w:before="120" w:afterLines="50" w:after="120"/>
        <w:ind w:left="288"/>
        <w:rPr>
          <w:rFonts w:eastAsiaTheme="minorEastAsia"/>
        </w:rPr>
      </w:pPr>
      <w:r>
        <w:rPr>
          <w:rFonts w:eastAsiaTheme="minorEastAsia"/>
        </w:rPr>
        <w:t>Please provide your views below</w:t>
      </w:r>
      <w:r>
        <w:rPr>
          <w:rFonts w:eastAsiaTheme="minorEastAsia" w:hint="eastAsia"/>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2D95BD7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786CA7"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49ED3EF9" w14:textId="77777777" w:rsidR="00AA4AC8" w:rsidRDefault="0082369C">
            <w:pPr>
              <w:jc w:val="center"/>
              <w:rPr>
                <w:b/>
                <w:sz w:val="28"/>
              </w:rPr>
            </w:pPr>
            <w:r>
              <w:rPr>
                <w:b/>
                <w:sz w:val="22"/>
              </w:rPr>
              <w:t>Comments and Views</w:t>
            </w:r>
          </w:p>
        </w:tc>
      </w:tr>
      <w:tr w:rsidR="00AA4AC8" w14:paraId="6F8BE1A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930E85"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8A0E14D" w14:textId="77777777" w:rsidR="00AA4AC8" w:rsidRDefault="0082369C">
            <w:pPr>
              <w:snapToGrid w:val="0"/>
            </w:pPr>
            <w:r>
              <w:t>For the first bullet in this proposal we support.</w:t>
            </w:r>
          </w:p>
          <w:p w14:paraId="4EF030C5" w14:textId="77777777" w:rsidR="00AA4AC8" w:rsidRDefault="0082369C">
            <w:pPr>
              <w:snapToGrid w:val="0"/>
            </w:pPr>
            <w:r>
              <w:t>For the second bullet, we have doubts what would be the benefit of this proposal. We have doubts as to what would be the target here? If the gNB has been scheduling only HARQ processes with HARQ feedback disabled – why request the UE to report the codebook (which should be empty)?</w:t>
            </w:r>
          </w:p>
        </w:tc>
      </w:tr>
      <w:tr w:rsidR="00AA4AC8" w14:paraId="00C5946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5DFAE5" w14:textId="77777777" w:rsidR="00AA4AC8" w:rsidRDefault="0082369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046F1B01" w14:textId="77777777" w:rsidR="00AA4AC8" w:rsidRDefault="0082369C">
            <w:pPr>
              <w:snapToGrid w:val="0"/>
            </w:pPr>
            <w:r>
              <w:t xml:space="preserve">We do not support bullet 1. As it is observed by the moderator, for Option 1, the new feature and the corresponding UE’s behavior should be specified. For Option 2, there is not much specification impact. Furthermore, the robustness of HARQ-ACK codebook size determination with the C-DAI and T-DAI in DCI for feedback-enabled processes is the same as in a territorial network in Option 2. </w:t>
            </w:r>
          </w:p>
          <w:p w14:paraId="356BB9D9" w14:textId="77777777" w:rsidR="00AA4AC8" w:rsidRDefault="0082369C">
            <w:pPr>
              <w:snapToGrid w:val="0"/>
            </w:pPr>
            <w:r>
              <w:t>For the 2</w:t>
            </w:r>
            <w:r>
              <w:rPr>
                <w:vertAlign w:val="superscript"/>
              </w:rPr>
              <w:t>nd</w:t>
            </w:r>
            <w:r>
              <w:t xml:space="preserve"> bullet, the benefit is not clear. </w:t>
            </w:r>
          </w:p>
        </w:tc>
      </w:tr>
      <w:tr w:rsidR="00AA4AC8" w14:paraId="1D26AB7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DBBDDD"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270F9DD5" w14:textId="77777777" w:rsidR="00AA4AC8" w:rsidRDefault="0082369C">
            <w:pPr>
              <w:snapToGrid w:val="0"/>
              <w:rPr>
                <w:rFonts w:eastAsiaTheme="minorEastAsia"/>
              </w:rPr>
            </w:pPr>
            <w:r>
              <w:rPr>
                <w:rFonts w:eastAsiaTheme="minorEastAsia"/>
              </w:rPr>
              <w:t>OK</w:t>
            </w:r>
          </w:p>
        </w:tc>
      </w:tr>
      <w:tr w:rsidR="00AA4AC8" w14:paraId="56E1A4A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8C4805" w14:textId="77777777" w:rsidR="00AA4AC8" w:rsidRDefault="0082369C">
            <w:pPr>
              <w:jc w:val="center"/>
              <w:rPr>
                <w:rFonts w:eastAsiaTheme="minorEastAsia" w:cs="Arial"/>
              </w:rPr>
            </w:pPr>
            <w:r>
              <w:rPr>
                <w:rFonts w:eastAsia="MS Mincho"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73B3E192" w14:textId="77777777" w:rsidR="00AA4AC8" w:rsidRDefault="0082369C">
            <w:pPr>
              <w:snapToGrid w:val="0"/>
              <w:rPr>
                <w:rFonts w:eastAsiaTheme="minorEastAsia"/>
              </w:rPr>
            </w:pPr>
            <w:r>
              <w:rPr>
                <w:rFonts w:eastAsia="MS Mincho"/>
              </w:rPr>
              <w:t>Support</w:t>
            </w:r>
          </w:p>
        </w:tc>
      </w:tr>
      <w:tr w:rsidR="00AA4AC8" w14:paraId="2B391E2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77B726" w14:textId="77777777" w:rsidR="00AA4AC8" w:rsidRDefault="0082369C">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0BA0405" w14:textId="77777777" w:rsidR="00AA4AC8" w:rsidRDefault="0082369C">
            <w:pPr>
              <w:snapToGrid w:val="0"/>
              <w:rPr>
                <w:rFonts w:eastAsiaTheme="minorEastAsia"/>
              </w:rPr>
            </w:pPr>
            <w:r>
              <w:rPr>
                <w:rFonts w:eastAsiaTheme="minorEastAsia"/>
              </w:rPr>
              <w:t xml:space="preserve">Fine with the first bullet. The purpose of the second bullet is unclear. </w:t>
            </w:r>
          </w:p>
        </w:tc>
      </w:tr>
      <w:tr w:rsidR="00AA4AC8" w14:paraId="5CEC723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9461B53"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1932D99" w14:textId="77777777" w:rsidR="00AA4AC8" w:rsidRDefault="0082369C">
            <w:pPr>
              <w:snapToGrid w:val="0"/>
              <w:rPr>
                <w:rFonts w:eastAsiaTheme="minorEastAsia"/>
              </w:rPr>
            </w:pPr>
            <w:r>
              <w:rPr>
                <w:rFonts w:eastAsiaTheme="minorEastAsia" w:hint="eastAsia"/>
              </w:rPr>
              <w:t>W</w:t>
            </w:r>
            <w:r>
              <w:rPr>
                <w:rFonts w:eastAsiaTheme="minorEastAsia"/>
              </w:rPr>
              <w:t>e still prefer to let UE directly ignore the C-/T-DAI for disabled HARQ process. But for sake of progress, the complicated solution can be acceptable with addressing the FFS in last meeting.</w:t>
            </w:r>
          </w:p>
          <w:p w14:paraId="26491662" w14:textId="77777777" w:rsidR="00AA4AC8" w:rsidRDefault="0082369C">
            <w:pPr>
              <w:snapToGrid w:val="0"/>
              <w:rPr>
                <w:rFonts w:eastAsiaTheme="minorEastAsia"/>
              </w:rPr>
            </w:pPr>
            <w:r>
              <w:rPr>
                <w:rFonts w:eastAsiaTheme="minorEastAsia"/>
                <w:highlight w:val="yellow"/>
              </w:rPr>
              <w:t>FFS: all DCIs of PDSCH are associated with feedback disabled HARQ process</w:t>
            </w:r>
          </w:p>
        </w:tc>
      </w:tr>
      <w:tr w:rsidR="00AA4AC8" w14:paraId="12C5034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E75052"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601428A" w14:textId="77777777" w:rsidR="00AA4AC8" w:rsidRDefault="0082369C">
            <w:pPr>
              <w:snapToGrid w:val="0"/>
              <w:rPr>
                <w:rFonts w:eastAsiaTheme="minorEastAsia"/>
              </w:rPr>
            </w:pPr>
            <w:r>
              <w:rPr>
                <w:rFonts w:eastAsiaTheme="minorEastAsia"/>
              </w:rPr>
              <w:t>Fine with the first bullet.</w:t>
            </w:r>
          </w:p>
          <w:p w14:paraId="39627F93" w14:textId="77777777" w:rsidR="00AA4AC8" w:rsidRDefault="0082369C">
            <w:pPr>
              <w:snapToGrid w:val="0"/>
              <w:rPr>
                <w:rFonts w:eastAsiaTheme="minorEastAsia"/>
              </w:rPr>
            </w:pPr>
            <w:r>
              <w:t>For the 2</w:t>
            </w:r>
            <w:r>
              <w:rPr>
                <w:vertAlign w:val="superscript"/>
              </w:rPr>
              <w:t>nd</w:t>
            </w:r>
            <w:r>
              <w:t xml:space="preserve"> bullet, the benefit is not clear.</w:t>
            </w:r>
          </w:p>
        </w:tc>
      </w:tr>
      <w:tr w:rsidR="00AA4AC8" w14:paraId="5876C78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1B31E1"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D5546F9" w14:textId="77777777" w:rsidR="00AA4AC8" w:rsidRDefault="0082369C">
            <w:pPr>
              <w:snapToGrid w:val="0"/>
              <w:rPr>
                <w:rFonts w:eastAsiaTheme="minorEastAsia"/>
              </w:rPr>
            </w:pPr>
            <w:r>
              <w:rPr>
                <w:rFonts w:eastAsiaTheme="minorEastAsia"/>
              </w:rPr>
              <w:t>Do not support</w:t>
            </w:r>
          </w:p>
          <w:p w14:paraId="5B90AE2C" w14:textId="77777777" w:rsidR="00AA4AC8" w:rsidRDefault="0082369C">
            <w:pPr>
              <w:snapToGrid w:val="0"/>
              <w:rPr>
                <w:rFonts w:eastAsiaTheme="minorEastAsia"/>
              </w:rPr>
            </w:pPr>
            <w:r>
              <w:rPr>
                <w:rFonts w:eastAsiaTheme="minorEastAsia"/>
              </w:rPr>
              <w:t xml:space="preserve">There is no benefit while it will require changes in the Type-2 HARQ-ACK codebook construction. </w:t>
            </w:r>
          </w:p>
        </w:tc>
      </w:tr>
      <w:tr w:rsidR="00AA4AC8" w14:paraId="365D141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D1049E"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0AB104A" w14:textId="77777777" w:rsidR="00AA4AC8" w:rsidRDefault="0082369C">
            <w:pPr>
              <w:snapToGrid w:val="0"/>
              <w:rPr>
                <w:rFonts w:eastAsiaTheme="minorEastAsia"/>
              </w:rPr>
            </w:pPr>
            <w:r>
              <w:rPr>
                <w:rFonts w:eastAsiaTheme="minorEastAsia" w:hint="eastAsia"/>
              </w:rPr>
              <w:t xml:space="preserve">We support </w:t>
            </w:r>
            <w:r>
              <w:rPr>
                <w:rFonts w:eastAsiaTheme="minorEastAsia"/>
              </w:rPr>
              <w:t>the first bullet.</w:t>
            </w:r>
          </w:p>
          <w:p w14:paraId="6D9CE07D" w14:textId="77777777" w:rsidR="00AA4AC8" w:rsidRDefault="0082369C">
            <w:pPr>
              <w:snapToGrid w:val="0"/>
              <w:rPr>
                <w:rFonts w:eastAsiaTheme="minorEastAsia"/>
              </w:rPr>
            </w:pPr>
            <w:r>
              <w:rPr>
                <w:rFonts w:eastAsiaTheme="minorEastAsia"/>
              </w:rPr>
              <w:t>The benefit of the second bullet is unclear.</w:t>
            </w:r>
          </w:p>
        </w:tc>
      </w:tr>
      <w:tr w:rsidR="00AA4AC8" w14:paraId="666F834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D9B4B7"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9F6A6F2" w14:textId="77777777" w:rsidR="00AA4AC8" w:rsidRDefault="0082369C">
            <w:pPr>
              <w:snapToGrid w:val="0"/>
              <w:rPr>
                <w:rFonts w:eastAsiaTheme="minorEastAsia"/>
              </w:rPr>
            </w:pPr>
            <w:r>
              <w:rPr>
                <w:rFonts w:eastAsiaTheme="minorEastAsia"/>
              </w:rPr>
              <w:t>We support both bullets.</w:t>
            </w:r>
          </w:p>
        </w:tc>
      </w:tr>
      <w:tr w:rsidR="00AA4AC8" w14:paraId="4A367E0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0C342D" w14:textId="77777777" w:rsidR="00AA4AC8" w:rsidRDefault="0082369C">
            <w:pPr>
              <w:jc w:val="center"/>
              <w:rPr>
                <w:rFonts w:eastAsiaTheme="minorEastAsia" w:cs="Arial"/>
              </w:rPr>
            </w:pPr>
            <w:r>
              <w:rPr>
                <w:rFonts w:eastAsia="MS Mincho" w:cs="Arial" w:hint="eastAsia"/>
                <w:lang w:eastAsia="ja-JP"/>
              </w:rPr>
              <w:lastRenderedPageBreak/>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23A8613" w14:textId="77777777" w:rsidR="00AA4AC8" w:rsidRDefault="0082369C">
            <w:pPr>
              <w:snapToGrid w:val="0"/>
              <w:rPr>
                <w:rFonts w:eastAsiaTheme="minorEastAsia"/>
              </w:rPr>
            </w:pPr>
            <w:r>
              <w:rPr>
                <w:rFonts w:eastAsia="MS Mincho" w:hint="eastAsia"/>
                <w:lang w:eastAsia="ja-JP"/>
              </w:rPr>
              <w:t>S</w:t>
            </w:r>
            <w:r>
              <w:rPr>
                <w:rFonts w:eastAsia="MS Mincho"/>
                <w:lang w:eastAsia="ja-JP"/>
              </w:rPr>
              <w:t xml:space="preserve">upport the </w:t>
            </w:r>
            <w:r>
              <w:rPr>
                <w:rFonts w:eastAsia="MS Mincho" w:hint="eastAsia"/>
                <w:lang w:eastAsia="ja-JP"/>
              </w:rPr>
              <w:t>f</w:t>
            </w:r>
            <w:r>
              <w:rPr>
                <w:rFonts w:eastAsia="MS Mincho"/>
                <w:lang w:eastAsia="ja-JP"/>
              </w:rPr>
              <w:t>irst bullet of proposal.</w:t>
            </w:r>
          </w:p>
        </w:tc>
      </w:tr>
      <w:tr w:rsidR="00AA4AC8" w14:paraId="4F86E26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8E1848"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1146430C" w14:textId="77777777" w:rsidR="00AA4AC8" w:rsidRDefault="0082369C">
            <w:pPr>
              <w:snapToGrid w:val="0"/>
              <w:rPr>
                <w:rFonts w:eastAsiaTheme="minorEastAsia"/>
              </w:rPr>
            </w:pPr>
            <w:r>
              <w:rPr>
                <w:rFonts w:eastAsiaTheme="minorEastAsia"/>
              </w:rPr>
              <w:t>OK</w:t>
            </w:r>
          </w:p>
        </w:tc>
      </w:tr>
      <w:tr w:rsidR="00AA4AC8" w14:paraId="205B5C3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A74D80"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154EC10" w14:textId="77777777" w:rsidR="00AA4AC8" w:rsidRDefault="0082369C">
            <w:pPr>
              <w:snapToGrid w:val="0"/>
              <w:rPr>
                <w:rFonts w:eastAsiaTheme="minorEastAsia"/>
              </w:rPr>
            </w:pPr>
            <w:r>
              <w:t xml:space="preserve">We still prefer Option-2. </w:t>
            </w:r>
            <w:r>
              <w:rPr>
                <w:rFonts w:hint="eastAsia"/>
              </w:rPr>
              <w:t>A</w:t>
            </w:r>
            <w:r>
              <w:t xml:space="preserve">s observed by the moderator, for </w:t>
            </w:r>
            <w:r>
              <w:rPr>
                <w:rFonts w:hint="eastAsia"/>
              </w:rPr>
              <w:t>Option-1,</w:t>
            </w:r>
            <w:r>
              <w:t xml:space="preserve"> new feature and corresponding UE’s behavior should be specified</w:t>
            </w:r>
            <w:r>
              <w:rPr>
                <w:rFonts w:hint="eastAsia"/>
              </w:rPr>
              <w:t>.</w:t>
            </w:r>
            <w:r>
              <w:t xml:space="preserve"> But the benefit is </w:t>
            </w:r>
            <w:r>
              <w:rPr>
                <w:rFonts w:eastAsiaTheme="minorEastAsia"/>
              </w:rPr>
              <w:t xml:space="preserve">potential improvement on the DCI missing detection, which is not a key point of NTN WID. There is no need to introduce complexity for NTN to enhance the reliability of DAI which is the same as in </w:t>
            </w:r>
            <w:r>
              <w:rPr>
                <w:rFonts w:eastAsiaTheme="minorEastAsia" w:hint="eastAsia"/>
              </w:rPr>
              <w:t>TN</w:t>
            </w:r>
            <w:r>
              <w:rPr>
                <w:rFonts w:eastAsiaTheme="minorEastAsia"/>
              </w:rPr>
              <w:t xml:space="preserve">. </w:t>
            </w:r>
          </w:p>
          <w:p w14:paraId="51F0DD01" w14:textId="77777777" w:rsidR="00AA4AC8" w:rsidRDefault="0082369C">
            <w:pPr>
              <w:snapToGrid w:val="0"/>
              <w:rPr>
                <w:rFonts w:eastAsia="MS Mincho"/>
                <w:lang w:eastAsia="ja-JP"/>
              </w:rPr>
            </w:pPr>
            <w:r>
              <w:rPr>
                <w:rFonts w:eastAsiaTheme="minorEastAsia"/>
              </w:rPr>
              <w:t>For sake of process, we can accept the first bullet, and not support the second bullet due to unclear benefit.</w:t>
            </w:r>
          </w:p>
        </w:tc>
      </w:tr>
      <w:tr w:rsidR="00AA4AC8" w14:paraId="1A1E65D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EE40B6" w14:textId="77777777" w:rsidR="00AA4AC8" w:rsidRDefault="0082369C">
            <w:pPr>
              <w:jc w:val="center"/>
              <w:rPr>
                <w:rFonts w:eastAsia="MS Mincho" w:cs="Arial"/>
                <w:lang w:eastAsia="ja-JP"/>
              </w:rPr>
            </w:pPr>
            <w:r>
              <w:rPr>
                <w:rFonts w:eastAsia="Malgun Gothic" w:cs="Arial" w:hint="eastAsia"/>
                <w:lang w:eastAsia="ko-KR"/>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E357AEF" w14:textId="77777777" w:rsidR="00AA4AC8" w:rsidRDefault="0082369C">
            <w:pPr>
              <w:snapToGrid w:val="0"/>
              <w:rPr>
                <w:rFonts w:eastAsia="Malgun Gothic"/>
                <w:lang w:eastAsia="ko-KR"/>
              </w:rPr>
            </w:pPr>
            <w:r>
              <w:rPr>
                <w:rFonts w:eastAsia="Malgun Gothic" w:hint="eastAsia"/>
                <w:lang w:eastAsia="ko-KR"/>
              </w:rPr>
              <w:t>Support</w:t>
            </w:r>
            <w:r>
              <w:rPr>
                <w:rFonts w:eastAsia="Malgun Gothic"/>
                <w:lang w:eastAsia="ko-KR"/>
              </w:rPr>
              <w:t xml:space="preserve"> the first bullet</w:t>
            </w:r>
            <w:r>
              <w:rPr>
                <w:rFonts w:eastAsia="Malgun Gothic" w:hint="eastAsia"/>
                <w:lang w:eastAsia="ko-KR"/>
              </w:rPr>
              <w:t>.</w:t>
            </w:r>
          </w:p>
          <w:p w14:paraId="54B9DD31" w14:textId="77777777" w:rsidR="00AA4AC8" w:rsidRDefault="0082369C">
            <w:pPr>
              <w:snapToGrid w:val="0"/>
              <w:rPr>
                <w:rFonts w:eastAsia="Malgun Gothic"/>
                <w:lang w:eastAsia="ko-KR"/>
              </w:rPr>
            </w:pPr>
            <w:r>
              <w:rPr>
                <w:rFonts w:eastAsia="Malgun Gothic"/>
                <w:lang w:eastAsia="ko-KR"/>
              </w:rPr>
              <w:t xml:space="preserve">In order to make more clear on the second bullet, we suggest some UE behavior </w:t>
            </w:r>
          </w:p>
          <w:p w14:paraId="79678DBE" w14:textId="77777777" w:rsidR="00AA4AC8" w:rsidRDefault="0082369C">
            <w:pPr>
              <w:pStyle w:val="afc"/>
              <w:numPr>
                <w:ilvl w:val="0"/>
                <w:numId w:val="14"/>
              </w:numPr>
              <w:adjustRightInd w:val="0"/>
              <w:snapToGrid w:val="0"/>
              <w:ind w:left="777"/>
              <w:rPr>
                <w:rFonts w:ascii="Times New Roman" w:eastAsiaTheme="minorEastAsia" w:hAnsi="Times New Roman"/>
                <w:color w:val="FF0000"/>
                <w:sz w:val="20"/>
                <w:szCs w:val="20"/>
                <w:highlight w:val="yellow"/>
              </w:rPr>
            </w:pPr>
            <w:r>
              <w:rPr>
                <w:rFonts w:ascii="Times New Roman" w:eastAsiaTheme="minorEastAsia" w:hAnsi="Times New Roman"/>
                <w:sz w:val="20"/>
                <w:szCs w:val="20"/>
                <w:highlight w:val="yellow"/>
              </w:rPr>
              <w:t xml:space="preserve">If all DCIs of PDSCH are associated with feedback disabled HARQ process, </w:t>
            </w:r>
            <w:r>
              <w:rPr>
                <w:rFonts w:ascii="Times New Roman" w:eastAsiaTheme="minorEastAsia" w:hAnsi="Times New Roman"/>
                <w:color w:val="FF0000"/>
                <w:sz w:val="20"/>
                <w:szCs w:val="20"/>
                <w:highlight w:val="yellow"/>
              </w:rPr>
              <w:t xml:space="preserve">UE assume </w:t>
            </w:r>
            <w:r>
              <w:rPr>
                <w:rFonts w:ascii="Times New Roman" w:eastAsiaTheme="minorEastAsia" w:hAnsi="Times New Roman"/>
                <w:sz w:val="20"/>
                <w:szCs w:val="20"/>
                <w:highlight w:val="yellow"/>
              </w:rPr>
              <w:t xml:space="preserve">the value of C-DAI and T-DAI set to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C-DAI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Pr>
                <w:rFonts w:ascii="Times New Roman" w:eastAsiaTheme="minorEastAsia" w:hAnsi="Times New Roman"/>
                <w:sz w:val="20"/>
                <w:szCs w:val="20"/>
                <w:highlight w:val="yellow"/>
              </w:rPr>
              <w:t xml:space="preserve"> and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T-DAI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Pr>
                <w:rFonts w:ascii="Times New Roman" w:eastAsiaTheme="minorEastAsia" w:hAnsi="Times New Roman"/>
                <w:sz w:val="20"/>
                <w:szCs w:val="20"/>
                <w:highlight w:val="yellow"/>
              </w:rPr>
              <w:t xml:space="preserve"> </w:t>
            </w:r>
            <w:r>
              <w:rPr>
                <w:rFonts w:ascii="Times New Roman" w:eastAsiaTheme="minorEastAsia" w:hAnsi="Times New Roman"/>
                <w:color w:val="FF0000"/>
                <w:sz w:val="20"/>
                <w:szCs w:val="20"/>
                <w:highlight w:val="yellow"/>
              </w:rPr>
              <w:t>and skip the corresponding ACK/NACK feedback.</w:t>
            </w:r>
          </w:p>
          <w:p w14:paraId="14B5B646" w14:textId="77777777" w:rsidR="00AA4AC8" w:rsidRDefault="00AA4AC8">
            <w:pPr>
              <w:snapToGrid w:val="0"/>
              <w:rPr>
                <w:rFonts w:eastAsia="MS Mincho"/>
                <w:lang w:eastAsia="ja-JP"/>
              </w:rPr>
            </w:pPr>
          </w:p>
        </w:tc>
      </w:tr>
      <w:tr w:rsidR="00AA4AC8" w14:paraId="2213812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B358462"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F245B92" w14:textId="77777777" w:rsidR="00AA4AC8" w:rsidRDefault="0082369C">
            <w:pPr>
              <w:snapToGrid w:val="0"/>
              <w:rPr>
                <w:rFonts w:eastAsiaTheme="minorEastAsia"/>
              </w:rPr>
            </w:pPr>
            <w:r>
              <w:rPr>
                <w:rFonts w:eastAsiaTheme="minorEastAsia"/>
              </w:rPr>
              <w:t>Option 2 is preferred.</w:t>
            </w:r>
          </w:p>
          <w:p w14:paraId="60D9E42D" w14:textId="77777777" w:rsidR="00AA4AC8" w:rsidRDefault="0082369C">
            <w:pPr>
              <w:snapToGrid w:val="0"/>
              <w:rPr>
                <w:rFonts w:eastAsia="Malgun Gothic"/>
                <w:lang w:eastAsia="ko-KR"/>
              </w:rPr>
            </w:pPr>
            <w:r>
              <w:rPr>
                <w:rFonts w:eastAsiaTheme="minorEastAsia"/>
              </w:rPr>
              <w:t>With option 1, additional speciation efforts are needed for Type-2 HARQ-ACK codebook construction. On the other hand, the robustness of HARQ-ACK codebook size determination with the C-DAI and T-DAI in DCI for feedback-enabled processes is the same as in a territorial network. No further performance improvements are needed at all. With option 2, almost no specification efforts are needed.</w:t>
            </w:r>
          </w:p>
        </w:tc>
      </w:tr>
      <w:tr w:rsidR="00AA4AC8" w14:paraId="341B915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4F1AE5" w14:textId="77777777" w:rsidR="00AA4AC8" w:rsidRDefault="0082369C">
            <w:pPr>
              <w:jc w:val="center"/>
              <w:rPr>
                <w:rFonts w:eastAsiaTheme="minorEastAsia"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2C7BFF3" w14:textId="77777777" w:rsidR="00AA4AC8" w:rsidRDefault="0082369C">
            <w:pPr>
              <w:snapToGrid w:val="0"/>
              <w:rPr>
                <w:rFonts w:eastAsiaTheme="minorEastAsia"/>
              </w:rPr>
            </w:pPr>
            <w:r>
              <w:t>We support the first bullet but think the second bullet needs further discussion.</w:t>
            </w:r>
          </w:p>
        </w:tc>
      </w:tr>
    </w:tbl>
    <w:p w14:paraId="20A28135" w14:textId="77777777" w:rsidR="00AA4AC8" w:rsidRDefault="0082369C">
      <w:pPr>
        <w:snapToGrid w:val="0"/>
        <w:spacing w:beforeLines="50" w:before="120" w:afterLines="50" w:after="120"/>
        <w:ind w:left="288"/>
        <w:rPr>
          <w:rFonts w:eastAsiaTheme="minorEastAsia"/>
        </w:rPr>
      </w:pPr>
      <w:r>
        <w:rPr>
          <w:rFonts w:eastAsiaTheme="minorEastAsia" w:hint="eastAsia"/>
        </w:rPr>
        <w:t>I</w:t>
      </w:r>
      <w:r>
        <w:rPr>
          <w:rFonts w:eastAsiaTheme="minorEastAsia"/>
        </w:rPr>
        <w:t>n addition, [OPPO, DCM] proposed to keep the same behaviour for DCI indicating Scell dormancy for Type-2 codebook feedback. From moderator’s perspective, it’s reasonable to confirm it with following proposal.</w:t>
      </w:r>
    </w:p>
    <w:p w14:paraId="15438B40" w14:textId="77777777" w:rsidR="00AA4AC8" w:rsidRDefault="0082369C">
      <w:pPr>
        <w:snapToGrid w:val="0"/>
        <w:spacing w:beforeLines="50" w:before="120" w:afterLines="50" w:after="120"/>
        <w:ind w:firstLine="288"/>
        <w:rPr>
          <w:color w:val="000000" w:themeColor="text1"/>
          <w:highlight w:val="yellow"/>
        </w:rPr>
      </w:pPr>
      <w:r>
        <w:rPr>
          <w:b/>
          <w:color w:val="000000" w:themeColor="text1"/>
          <w:highlight w:val="yellow"/>
        </w:rPr>
        <w:t>[Initial Proposal 1.2.1-2]</w:t>
      </w:r>
    </w:p>
    <w:p w14:paraId="5B41C42E" w14:textId="77777777" w:rsidR="00AA4AC8" w:rsidRDefault="0082369C">
      <w:pPr>
        <w:snapToGrid w:val="0"/>
        <w:spacing w:after="0"/>
        <w:ind w:left="288"/>
        <w:rPr>
          <w:color w:val="000000" w:themeColor="text1"/>
          <w:highlight w:val="yellow"/>
        </w:rPr>
      </w:pPr>
      <w:r>
        <w:rPr>
          <w:color w:val="000000" w:themeColor="text1"/>
          <w:highlight w:val="yellow"/>
        </w:rPr>
        <w:t xml:space="preserve">For DCI indicating SCell dormancy without scheduling a PDSCH reception, HARQ-ACK report is as in Rel-16. </w:t>
      </w:r>
    </w:p>
    <w:p w14:paraId="050FFFD1" w14:textId="77777777" w:rsidR="00AA4AC8" w:rsidRDefault="0082369C">
      <w:pPr>
        <w:snapToGrid w:val="0"/>
        <w:spacing w:beforeLines="50" w:before="120" w:afterLines="50" w:after="120"/>
        <w:ind w:left="288"/>
        <w:rPr>
          <w:rFonts w:eastAsiaTheme="minorEastAsia"/>
        </w:rPr>
      </w:pPr>
      <w:r>
        <w:rPr>
          <w:rFonts w:eastAsiaTheme="minorEastAsia"/>
        </w:rPr>
        <w:t>Please provide your views below</w:t>
      </w:r>
      <w:r>
        <w:rPr>
          <w:rFonts w:eastAsiaTheme="minorEastAsia" w:hint="eastAsia"/>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32F5943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D5A601"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C4E4D3B" w14:textId="77777777" w:rsidR="00AA4AC8" w:rsidRDefault="0082369C">
            <w:pPr>
              <w:jc w:val="center"/>
              <w:rPr>
                <w:b/>
                <w:sz w:val="28"/>
              </w:rPr>
            </w:pPr>
            <w:r>
              <w:rPr>
                <w:b/>
                <w:sz w:val="22"/>
              </w:rPr>
              <w:t>Comments and Views</w:t>
            </w:r>
          </w:p>
        </w:tc>
      </w:tr>
      <w:tr w:rsidR="00AA4AC8" w14:paraId="180E235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44F720"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AC94FFA" w14:textId="77777777" w:rsidR="00AA4AC8" w:rsidRDefault="0082369C">
            <w:pPr>
              <w:snapToGrid w:val="0"/>
            </w:pPr>
            <w:r>
              <w:t>OK</w:t>
            </w:r>
          </w:p>
        </w:tc>
      </w:tr>
      <w:tr w:rsidR="00AA4AC8" w14:paraId="013FAF9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6F2582"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4FFEE90E" w14:textId="77777777" w:rsidR="00AA4AC8" w:rsidRDefault="0082369C">
            <w:pPr>
              <w:snapToGrid w:val="0"/>
              <w:rPr>
                <w:rFonts w:eastAsiaTheme="minorEastAsia"/>
              </w:rPr>
            </w:pPr>
            <w:r>
              <w:rPr>
                <w:rFonts w:eastAsiaTheme="minorEastAsia" w:hint="eastAsia"/>
              </w:rPr>
              <w:t>O</w:t>
            </w:r>
            <w:r>
              <w:rPr>
                <w:rFonts w:eastAsiaTheme="minorEastAsia"/>
              </w:rPr>
              <w:t>K</w:t>
            </w:r>
          </w:p>
        </w:tc>
      </w:tr>
      <w:tr w:rsidR="00AA4AC8" w14:paraId="71A666C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4087E8"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DAA8468" w14:textId="77777777" w:rsidR="00AA4AC8" w:rsidRDefault="0082369C">
            <w:pPr>
              <w:snapToGrid w:val="0"/>
              <w:rPr>
                <w:rFonts w:eastAsiaTheme="minorEastAsia"/>
              </w:rPr>
            </w:pPr>
            <w:r>
              <w:rPr>
                <w:rFonts w:eastAsia="MS Mincho"/>
              </w:rPr>
              <w:t xml:space="preserve">Support </w:t>
            </w:r>
          </w:p>
        </w:tc>
      </w:tr>
      <w:tr w:rsidR="00AA4AC8" w14:paraId="612BEED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C2AFF9" w14:textId="77777777" w:rsidR="00AA4AC8" w:rsidRDefault="0082369C">
            <w:pPr>
              <w:jc w:val="center"/>
              <w:rPr>
                <w:rFonts w:eastAsiaTheme="minorEastAsia" w:cs="Arial"/>
              </w:rPr>
            </w:pPr>
            <w:r>
              <w:rPr>
                <w:rFonts w:eastAsiaTheme="minorEastAsia"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2E5B3B5" w14:textId="77777777" w:rsidR="00AA4AC8" w:rsidRDefault="0082369C">
            <w:pPr>
              <w:snapToGrid w:val="0"/>
              <w:rPr>
                <w:rFonts w:eastAsiaTheme="minorEastAsia"/>
              </w:rPr>
            </w:pPr>
            <w:r>
              <w:rPr>
                <w:rFonts w:eastAsiaTheme="minorEastAsia"/>
              </w:rPr>
              <w:t>Support</w:t>
            </w:r>
          </w:p>
        </w:tc>
      </w:tr>
      <w:tr w:rsidR="00AA4AC8" w14:paraId="2C21BE8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D76578A"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0093421" w14:textId="77777777" w:rsidR="00AA4AC8" w:rsidRDefault="0082369C">
            <w:pPr>
              <w:snapToGrid w:val="0"/>
              <w:rPr>
                <w:rFonts w:eastAsiaTheme="minorEastAsia"/>
              </w:rPr>
            </w:pPr>
            <w:r>
              <w:rPr>
                <w:rFonts w:eastAsiaTheme="minorEastAsia" w:hint="eastAsia"/>
              </w:rPr>
              <w:t>A</w:t>
            </w:r>
            <w:r>
              <w:rPr>
                <w:rFonts w:eastAsiaTheme="minorEastAsia"/>
              </w:rPr>
              <w:t>gree</w:t>
            </w:r>
          </w:p>
        </w:tc>
      </w:tr>
      <w:tr w:rsidR="00AA4AC8" w14:paraId="54A31C5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96906B"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C2F10C5" w14:textId="77777777" w:rsidR="00AA4AC8" w:rsidRDefault="0082369C">
            <w:pPr>
              <w:snapToGrid w:val="0"/>
              <w:rPr>
                <w:rFonts w:eastAsiaTheme="minorEastAsia"/>
              </w:rPr>
            </w:pPr>
            <w:r>
              <w:rPr>
                <w:rFonts w:eastAsiaTheme="minorEastAsia"/>
              </w:rPr>
              <w:t>Agree, although the proposal is not relevant as Rel-17 NTN is for single-cell operation.</w:t>
            </w:r>
          </w:p>
        </w:tc>
      </w:tr>
      <w:tr w:rsidR="00AA4AC8" w14:paraId="2766D52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845B4E"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40AF7D4D" w14:textId="77777777" w:rsidR="00AA4AC8" w:rsidRDefault="0082369C">
            <w:pPr>
              <w:snapToGrid w:val="0"/>
              <w:rPr>
                <w:rFonts w:eastAsiaTheme="minorEastAsia"/>
              </w:rPr>
            </w:pPr>
            <w:r>
              <w:rPr>
                <w:rFonts w:eastAsiaTheme="minorEastAsia"/>
              </w:rPr>
              <w:t>Support</w:t>
            </w:r>
          </w:p>
        </w:tc>
      </w:tr>
      <w:tr w:rsidR="00AA4AC8" w14:paraId="68B8822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0B2AE1"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5A78D60C" w14:textId="77777777" w:rsidR="00AA4AC8" w:rsidRDefault="0082369C">
            <w:pPr>
              <w:snapToGrid w:val="0"/>
              <w:rPr>
                <w:rFonts w:eastAsiaTheme="minorEastAsia"/>
              </w:rPr>
            </w:pPr>
            <w:r>
              <w:rPr>
                <w:rFonts w:eastAsiaTheme="minorEastAsia"/>
              </w:rPr>
              <w:t>Support the FL proposal.</w:t>
            </w:r>
          </w:p>
        </w:tc>
      </w:tr>
      <w:tr w:rsidR="00AA4AC8" w14:paraId="115559B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669679" w14:textId="77777777" w:rsidR="00AA4AC8" w:rsidRDefault="0082369C">
            <w:pPr>
              <w:jc w:val="center"/>
              <w:rPr>
                <w:rFonts w:eastAsiaTheme="minorEastAsia" w:cs="Arial"/>
              </w:rPr>
            </w:pPr>
            <w:r>
              <w:rPr>
                <w:rFonts w:eastAsia="MS Mincho" w:cs="Arial" w:hint="eastAsia"/>
                <w:lang w:eastAsia="ja-JP"/>
              </w:rPr>
              <w:lastRenderedPageBreak/>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3FA7542F" w14:textId="77777777" w:rsidR="00AA4AC8" w:rsidRDefault="0082369C">
            <w:pPr>
              <w:snapToGrid w:val="0"/>
              <w:rPr>
                <w:rFonts w:eastAsiaTheme="minorEastAsia"/>
              </w:rPr>
            </w:pPr>
            <w:r>
              <w:rPr>
                <w:rFonts w:eastAsia="MS Mincho" w:hint="eastAsia"/>
                <w:lang w:eastAsia="ja-JP"/>
              </w:rPr>
              <w:t>S</w:t>
            </w:r>
            <w:r>
              <w:rPr>
                <w:rFonts w:eastAsia="MS Mincho"/>
                <w:lang w:eastAsia="ja-JP"/>
              </w:rPr>
              <w:t>upport the proposal.</w:t>
            </w:r>
          </w:p>
        </w:tc>
      </w:tr>
      <w:tr w:rsidR="00AA4AC8" w14:paraId="3A297F0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5F24F0"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6718B6CB" w14:textId="77777777" w:rsidR="00AA4AC8" w:rsidRDefault="0082369C">
            <w:pPr>
              <w:snapToGrid w:val="0"/>
              <w:rPr>
                <w:rFonts w:eastAsiaTheme="minorEastAsia"/>
              </w:rPr>
            </w:pPr>
            <w:r>
              <w:rPr>
                <w:rFonts w:eastAsiaTheme="minorEastAsia"/>
              </w:rPr>
              <w:t>Support.</w:t>
            </w:r>
          </w:p>
        </w:tc>
      </w:tr>
      <w:tr w:rsidR="00AA4AC8" w14:paraId="228607B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FA53D4"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26EDFA1"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13ED2E3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E3DF5D" w14:textId="77777777" w:rsidR="00AA4AC8" w:rsidRDefault="0082369C">
            <w:pPr>
              <w:jc w:val="center"/>
              <w:rPr>
                <w:rFonts w:eastAsia="MS Mincho" w:cs="Arial"/>
                <w:b/>
                <w:lang w:eastAsia="ja-JP"/>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62FCB65E" w14:textId="77777777" w:rsidR="00AA4AC8" w:rsidRDefault="0082369C">
            <w:pPr>
              <w:snapToGrid w:val="0"/>
              <w:rPr>
                <w:rFonts w:eastAsia="MS Mincho"/>
                <w:b/>
                <w:lang w:eastAsia="ja-JP"/>
              </w:rPr>
            </w:pPr>
            <w:r>
              <w:rPr>
                <w:rFonts w:eastAsiaTheme="minorEastAsia"/>
              </w:rPr>
              <w:t>Support</w:t>
            </w:r>
          </w:p>
        </w:tc>
      </w:tr>
      <w:tr w:rsidR="00AA4AC8" w14:paraId="5A71E0B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127CFA"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9512E82" w14:textId="77777777" w:rsidR="00AA4AC8" w:rsidRDefault="0082369C">
            <w:pPr>
              <w:snapToGrid w:val="0"/>
              <w:rPr>
                <w:rFonts w:eastAsiaTheme="minorEastAsia"/>
              </w:rPr>
            </w:pPr>
            <w:r>
              <w:rPr>
                <w:rFonts w:eastAsiaTheme="minorEastAsia"/>
              </w:rPr>
              <w:t>Support</w:t>
            </w:r>
          </w:p>
        </w:tc>
      </w:tr>
      <w:tr w:rsidR="00AA4AC8" w14:paraId="56A2B85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C745EA" w14:textId="77777777" w:rsidR="00AA4AC8" w:rsidRDefault="0082369C">
            <w:pPr>
              <w:jc w:val="center"/>
              <w:rPr>
                <w:rFonts w:eastAsiaTheme="minorEastAsia"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0D215FF" w14:textId="77777777" w:rsidR="00AA4AC8" w:rsidRDefault="0082369C">
            <w:pPr>
              <w:snapToGrid w:val="0"/>
              <w:rPr>
                <w:rFonts w:eastAsiaTheme="minorEastAsia"/>
              </w:rPr>
            </w:pPr>
            <w:r>
              <w:rPr>
                <w:rStyle w:val="afa"/>
                <w:sz w:val="20"/>
                <w:szCs w:val="20"/>
              </w:rPr>
              <w:t>It should be first discussed if carrier aggregation is in the scope.</w:t>
            </w:r>
          </w:p>
        </w:tc>
      </w:tr>
    </w:tbl>
    <w:p w14:paraId="3B87DB18"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Updated based on the email discussion (Round-2)</w:t>
      </w:r>
    </w:p>
    <w:p w14:paraId="65ED059A" w14:textId="77777777" w:rsidR="00AA4AC8" w:rsidRDefault="0082369C">
      <w:pPr>
        <w:ind w:left="288"/>
        <w:rPr>
          <w:rFonts w:eastAsiaTheme="minorEastAsia"/>
        </w:rPr>
      </w:pPr>
      <w:r>
        <w:rPr>
          <w:rFonts w:eastAsiaTheme="minorEastAsia" w:hint="eastAsia"/>
        </w:rPr>
        <w:t>R</w:t>
      </w:r>
      <w:r>
        <w:rPr>
          <w:rFonts w:eastAsiaTheme="minorEastAsia"/>
        </w:rPr>
        <w:t xml:space="preserve">egarding the </w:t>
      </w:r>
      <w:r>
        <w:rPr>
          <w:b/>
          <w:color w:val="000000" w:themeColor="text1"/>
          <w:highlight w:val="yellow"/>
        </w:rPr>
        <w:t>[Initial Proposal 1.2.1-1]</w:t>
      </w:r>
      <w:r>
        <w:rPr>
          <w:rFonts w:eastAsiaTheme="minorEastAsia"/>
        </w:rPr>
        <w:t>, it seems that there is slight majority to support this proposal but among them, concerns are raised for the 2</w:t>
      </w:r>
      <w:r>
        <w:rPr>
          <w:rFonts w:eastAsiaTheme="minorEastAsia"/>
          <w:vertAlign w:val="superscript"/>
        </w:rPr>
        <w:t>nd</w:t>
      </w:r>
      <w:r>
        <w:rPr>
          <w:rFonts w:eastAsiaTheme="minorEastAsia"/>
        </w:rPr>
        <w:t xml:space="preserve"> bullet. </w:t>
      </w:r>
    </w:p>
    <w:p w14:paraId="50FCD5A3" w14:textId="77777777" w:rsidR="00AA4AC8" w:rsidRDefault="0082369C">
      <w:pPr>
        <w:ind w:left="288"/>
        <w:rPr>
          <w:rFonts w:eastAsiaTheme="minorEastAsia"/>
        </w:rPr>
      </w:pPr>
      <w:r>
        <w:rPr>
          <w:rFonts w:eastAsiaTheme="minorEastAsia"/>
        </w:rPr>
        <w:t xml:space="preserve">From moderator’s perspective, for this Option-1, the determination of feedback disabled HARQ process is pending for the case that </w:t>
      </w:r>
      <w:r>
        <w:rPr>
          <w:rFonts w:eastAsiaTheme="minorEastAsia"/>
          <w:highlight w:val="yellow"/>
        </w:rPr>
        <w:t>all DCIs of PDSCH are associated with feedback disabled HARQ process</w:t>
      </w:r>
      <w:r>
        <w:rPr>
          <w:rFonts w:eastAsiaTheme="minorEastAsia"/>
        </w:rPr>
        <w:t xml:space="preserve">. It’s preferred to take the complete proposal for discussion. </w:t>
      </w:r>
    </w:p>
    <w:p w14:paraId="0E9CAF40" w14:textId="77777777" w:rsidR="00AA4AC8" w:rsidRDefault="0082369C">
      <w:pPr>
        <w:ind w:left="288"/>
        <w:rPr>
          <w:rFonts w:eastAsiaTheme="minorEastAsia"/>
        </w:rPr>
      </w:pPr>
      <w:r>
        <w:rPr>
          <w:rFonts w:eastAsiaTheme="minorEastAsia"/>
        </w:rPr>
        <w:t>Based on the feedback, I’d like to check the companies’ views again on following options. Please note that, as proponent of Option-1, please provide your solution to address the FFS.</w:t>
      </w:r>
    </w:p>
    <w:p w14:paraId="2BFBE658" w14:textId="77777777" w:rsidR="00AA4AC8" w:rsidRDefault="0082369C">
      <w:pPr>
        <w:snapToGrid w:val="0"/>
        <w:spacing w:after="0"/>
        <w:ind w:left="288"/>
        <w:rPr>
          <w:color w:val="000000" w:themeColor="text1"/>
          <w:highlight w:val="yellow"/>
        </w:rPr>
      </w:pPr>
      <w:r>
        <w:rPr>
          <w:b/>
          <w:color w:val="000000" w:themeColor="text1"/>
          <w:highlight w:val="yellow"/>
        </w:rPr>
        <w:t>[Initial Proposal 1.2.2-1]</w:t>
      </w:r>
    </w:p>
    <w:p w14:paraId="79C08B5E" w14:textId="77777777" w:rsidR="00AA4AC8" w:rsidRDefault="0082369C">
      <w:pPr>
        <w:snapToGrid w:val="0"/>
        <w:spacing w:after="0"/>
        <w:ind w:left="288"/>
        <w:rPr>
          <w:color w:val="000000" w:themeColor="text1"/>
          <w:highlight w:val="yellow"/>
        </w:rPr>
      </w:pPr>
      <w:r>
        <w:rPr>
          <w:color w:val="000000" w:themeColor="text1"/>
          <w:highlight w:val="yellow"/>
        </w:rPr>
        <w:t>For the DCI of PDSCH with feedback-disabled HARQ processes, one of following Options is supported:</w:t>
      </w:r>
    </w:p>
    <w:p w14:paraId="6AAF8756" w14:textId="77777777" w:rsidR="00AA4AC8" w:rsidRDefault="0082369C">
      <w:pPr>
        <w:pStyle w:val="afc"/>
        <w:numPr>
          <w:ilvl w:val="0"/>
          <w:numId w:val="14"/>
        </w:numPr>
        <w:snapToGrid w:val="0"/>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 xml:space="preserve">Option-1: the C-DAI and T-DAI are the same of the C-DAI and T-DAI of the most recent DCI of PDSCH with feedback-enabled processes, despite they are not incremented. </w:t>
      </w:r>
    </w:p>
    <w:p w14:paraId="6AE7E78C" w14:textId="77777777" w:rsidR="00AA4AC8" w:rsidRDefault="0082369C">
      <w:pPr>
        <w:pStyle w:val="afc"/>
        <w:numPr>
          <w:ilvl w:val="1"/>
          <w:numId w:val="14"/>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w:t>
      </w:r>
    </w:p>
    <w:p w14:paraId="5DAAE8FB" w14:textId="77777777" w:rsidR="00AA4AC8" w:rsidRDefault="0082369C">
      <w:pPr>
        <w:pStyle w:val="afc"/>
        <w:numPr>
          <w:ilvl w:val="1"/>
          <w:numId w:val="14"/>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if all DCIs of PDSCH are associated with feedback disabled HARQ process,</w:t>
      </w:r>
    </w:p>
    <w:p w14:paraId="00B8E098" w14:textId="77777777" w:rsidR="00AA4AC8" w:rsidRDefault="0082369C">
      <w:pPr>
        <w:pStyle w:val="afc"/>
        <w:numPr>
          <w:ilvl w:val="2"/>
          <w:numId w:val="14"/>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Alt-1: The value of C-DAI and T-DAI set to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C-DAI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r>
        <w:rPr>
          <w:rFonts w:ascii="Times New Roman" w:eastAsiaTheme="minorEastAsia" w:hAnsi="Times New Roman"/>
          <w:sz w:val="20"/>
          <w:szCs w:val="20"/>
          <w:highlight w:val="yellow"/>
        </w:rPr>
        <w:t xml:space="preserve"> and </w:t>
      </w:r>
      <m:oMath>
        <m:sSubSup>
          <m:sSubSupPr>
            <m:ctrlPr>
              <w:rPr>
                <w:rFonts w:ascii="Cambria Math" w:eastAsiaTheme="minorEastAsia" w:hAnsi="Cambria Math"/>
                <w:sz w:val="20"/>
                <w:szCs w:val="20"/>
                <w:highlight w:val="yellow"/>
              </w:rPr>
            </m:ctrlPr>
          </m:sSubSupPr>
          <m:e>
            <m:r>
              <m:rPr>
                <m:sty m:val="p"/>
              </m:rPr>
              <w:rPr>
                <w:rFonts w:ascii="Cambria Math" w:eastAsiaTheme="minorEastAsia" w:hAnsi="Cambria Math"/>
                <w:sz w:val="20"/>
                <w:szCs w:val="20"/>
                <w:highlight w:val="yellow"/>
              </w:rPr>
              <m:t>V</m:t>
            </m:r>
          </m:e>
          <m:sub>
            <m:r>
              <m:rPr>
                <m:nor/>
              </m:rPr>
              <w:rPr>
                <w:rFonts w:ascii="Times New Roman" w:eastAsiaTheme="minorEastAsia" w:hAnsi="Times New Roman"/>
                <w:sz w:val="20"/>
                <w:szCs w:val="20"/>
                <w:highlight w:val="yellow"/>
              </w:rPr>
              <m:t>T-DAI</m:t>
            </m:r>
          </m:sub>
          <m:sup>
            <m:r>
              <m:rPr>
                <m:nor/>
              </m:rPr>
              <w:rPr>
                <w:rFonts w:ascii="Times New Roman" w:eastAsiaTheme="minorEastAsia" w:hAnsi="Times New Roman"/>
                <w:sz w:val="20"/>
                <w:szCs w:val="20"/>
                <w:highlight w:val="yellow"/>
              </w:rPr>
              <m:t>DL</m:t>
            </m:r>
          </m:sup>
        </m:sSubSup>
        <m:r>
          <m:rPr>
            <m:sty m:val="p"/>
          </m:rPr>
          <w:rPr>
            <w:rFonts w:ascii="Cambria Math" w:eastAsiaTheme="minorEastAsia" w:hAnsi="Cambria Math"/>
            <w:sz w:val="20"/>
            <w:szCs w:val="20"/>
            <w:highlight w:val="yellow"/>
          </w:rPr>
          <m:t>=4</m:t>
        </m:r>
      </m:oMath>
    </w:p>
    <w:p w14:paraId="4F8CE0EA" w14:textId="77777777" w:rsidR="00AA4AC8" w:rsidRDefault="0082369C">
      <w:pPr>
        <w:pStyle w:val="afc"/>
        <w:numPr>
          <w:ilvl w:val="2"/>
          <w:numId w:val="14"/>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Alt-2: (proponent are encouraged to provide the detailed solution if there is concern on Alt-1)</w:t>
      </w:r>
    </w:p>
    <w:p w14:paraId="6A9D459A" w14:textId="77777777" w:rsidR="00AA4AC8" w:rsidRDefault="0082369C">
      <w:pPr>
        <w:pStyle w:val="afc"/>
        <w:numPr>
          <w:ilvl w:val="0"/>
          <w:numId w:val="14"/>
        </w:numPr>
        <w:snapToGrid w:val="0"/>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 xml:space="preserve">Option-2: </w:t>
      </w:r>
      <w:r>
        <w:rPr>
          <w:rFonts w:ascii="Times New Roman" w:eastAsiaTheme="minorEastAsia" w:hAnsi="Times New Roman"/>
          <w:sz w:val="20"/>
          <w:szCs w:val="20"/>
          <w:highlight w:val="yellow"/>
        </w:rPr>
        <w:t>The C-DAI and T-DAI are ignored by the UE regardless of the value for Type 2 codebook generation.</w:t>
      </w:r>
    </w:p>
    <w:p w14:paraId="2E840D06" w14:textId="77777777" w:rsidR="00AA4AC8" w:rsidRDefault="0082369C">
      <w:pPr>
        <w:snapToGrid w:val="0"/>
        <w:spacing w:beforeLines="50" w:before="120" w:afterLines="50" w:after="120"/>
        <w:ind w:left="288"/>
        <w:rPr>
          <w:color w:val="000000" w:themeColor="text1"/>
          <w:highlight w:val="yellow"/>
        </w:rPr>
      </w:pPr>
      <w:r>
        <w:rPr>
          <w:rFonts w:eastAsiaTheme="minorEastAsia"/>
        </w:rPr>
        <w:t>Please provide your views below</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3C1CC40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F45E1F"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BCB94EB" w14:textId="77777777" w:rsidR="00AA4AC8" w:rsidRDefault="0082369C">
            <w:pPr>
              <w:jc w:val="center"/>
              <w:rPr>
                <w:b/>
                <w:sz w:val="28"/>
              </w:rPr>
            </w:pPr>
            <w:r>
              <w:rPr>
                <w:b/>
                <w:sz w:val="22"/>
              </w:rPr>
              <w:t>Comments and Views</w:t>
            </w:r>
          </w:p>
        </w:tc>
      </w:tr>
      <w:tr w:rsidR="00AA4AC8" w14:paraId="318672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69A07E8"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E2E194F" w14:textId="77777777" w:rsidR="00AA4AC8" w:rsidRDefault="0082369C">
            <w:pPr>
              <w:snapToGrid w:val="0"/>
            </w:pPr>
            <w:r>
              <w:t xml:space="preserve">Option 1. </w:t>
            </w:r>
          </w:p>
          <w:p w14:paraId="598DD738" w14:textId="77777777" w:rsidR="00AA4AC8" w:rsidRDefault="0082369C">
            <w:pPr>
              <w:snapToGrid w:val="0"/>
            </w:pPr>
            <w:r>
              <w:t>We do not need to specify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C-DAI</m:t>
                  </m:r>
                </m:sub>
                <m:sup>
                  <m:r>
                    <m:rPr>
                      <m:nor/>
                    </m:rPr>
                    <w:rPr>
                      <w:rFonts w:eastAsiaTheme="minorEastAsia"/>
                    </w:rPr>
                    <m:t>DL</m:t>
                  </m:r>
                </m:sup>
              </m:sSubSup>
              <m:r>
                <m:rPr>
                  <m:sty m:val="p"/>
                </m:rPr>
                <w:rPr>
                  <w:rFonts w:ascii="Cambria Math" w:eastAsiaTheme="minorEastAsia" w:hAnsi="Cambria Math"/>
                </w:rPr>
                <m:t>=4</m:t>
              </m:r>
            </m:oMath>
            <w:r>
              <w:rPr>
                <w:rFonts w:eastAsiaTheme="minorEastAsia"/>
              </w:rPr>
              <w:t xml:space="preserve"> and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T-DAI</m:t>
                  </m:r>
                </m:sub>
                <m:sup>
                  <m:r>
                    <m:rPr>
                      <m:nor/>
                    </m:rPr>
                    <w:rPr>
                      <w:rFonts w:eastAsiaTheme="minorEastAsia"/>
                    </w:rPr>
                    <m:t>DL</m:t>
                  </m:r>
                </m:sup>
              </m:sSubSup>
              <m:r>
                <m:rPr>
                  <m:sty m:val="p"/>
                </m:rPr>
                <w:rPr>
                  <w:rFonts w:ascii="Cambria Math" w:eastAsiaTheme="minorEastAsia" w:hAnsi="Cambria Math"/>
                </w:rPr>
                <m:t>=4</m:t>
              </m:r>
            </m:oMath>
            <w:r>
              <w:rPr>
                <w:rFonts w:eastAsiaTheme="minorEastAsia"/>
              </w:rPr>
              <w:t xml:space="preserve">”, which is mainly for HARQ-ACK transmissions on PUSCH. Actually, gNB may not know whether all the scheduling DCIs are associated with feedback disabled HARQ processes when transmitting the first DCI. </w:t>
            </w:r>
            <w:r>
              <w:t xml:space="preserve">We may simply clarify that UE skips the corresponding HARQ-ACK feedback if all DCIs of PDSCH are associated with feedback disabled HARQ processes. </w:t>
            </w:r>
          </w:p>
        </w:tc>
      </w:tr>
      <w:tr w:rsidR="00AA4AC8" w14:paraId="6EBEDBA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DB266D" w14:textId="77777777" w:rsidR="00AA4AC8" w:rsidRDefault="0082369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B5DD726" w14:textId="77777777" w:rsidR="00AA4AC8" w:rsidRDefault="0082369C">
            <w:pPr>
              <w:snapToGrid w:val="0"/>
            </w:pPr>
            <w:r>
              <w:t>Option 1.</w:t>
            </w:r>
          </w:p>
          <w:p w14:paraId="4A13A572" w14:textId="77777777" w:rsidR="00AA4AC8" w:rsidRDefault="0082369C">
            <w:pPr>
              <w:snapToGrid w:val="0"/>
            </w:pPr>
            <w:r>
              <w:t>Regarding Alt 1/2, rather we think what we should discuss is the case when there is not the most recent DCI of PDSCH with feedback-enabled processes.</w:t>
            </w:r>
          </w:p>
        </w:tc>
      </w:tr>
      <w:tr w:rsidR="00AA4AC8" w14:paraId="70F6A32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AFE972D" w14:textId="77777777" w:rsidR="00AA4AC8" w:rsidRDefault="0082369C">
            <w:pPr>
              <w:jc w:val="center"/>
              <w:rPr>
                <w:rFonts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3FA61A8" w14:textId="77777777" w:rsidR="00AA4AC8" w:rsidRDefault="0082369C">
            <w:pPr>
              <w:snapToGrid w:val="0"/>
              <w:rPr>
                <w:rFonts w:eastAsiaTheme="minorEastAsia"/>
              </w:rPr>
            </w:pPr>
            <w:r>
              <w:rPr>
                <w:rFonts w:eastAsiaTheme="minorEastAsia" w:hint="eastAsia"/>
              </w:rPr>
              <w:t>O</w:t>
            </w:r>
            <w:r>
              <w:rPr>
                <w:rFonts w:eastAsiaTheme="minorEastAsia"/>
              </w:rPr>
              <w:t>ption-2.</w:t>
            </w:r>
          </w:p>
          <w:p w14:paraId="3781285F" w14:textId="77777777" w:rsidR="00AA4AC8" w:rsidRDefault="0082369C">
            <w:pPr>
              <w:snapToGrid w:val="0"/>
            </w:pPr>
            <w:r>
              <w:rPr>
                <w:rFonts w:eastAsiaTheme="minorEastAsia"/>
              </w:rPr>
              <w:t xml:space="preserve">In our views, the benefit is unclear for Option-1 if the most recent DCI of PDSCH with feedback-enabled processes was received in the PDSCH reception occasion of previous HARQ-ACK report occasion, especially when the HARQ-ACK </w:t>
            </w:r>
            <w:r>
              <w:rPr>
                <w:rFonts w:eastAsiaTheme="minorEastAsia"/>
              </w:rPr>
              <w:lastRenderedPageBreak/>
              <w:t xml:space="preserve">feedback has been reported. Additionally, if </w:t>
            </w:r>
            <w:r>
              <w:t>all DCIs of PDSCH are associated with feedback disabled HARQ processes, there is no need to specify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C-DAI</m:t>
                  </m:r>
                </m:sub>
                <m:sup>
                  <m:r>
                    <m:rPr>
                      <m:nor/>
                    </m:rPr>
                    <w:rPr>
                      <w:rFonts w:eastAsiaTheme="minorEastAsia"/>
                    </w:rPr>
                    <m:t>DL</m:t>
                  </m:r>
                </m:sup>
              </m:sSubSup>
              <m:r>
                <m:rPr>
                  <m:sty m:val="p"/>
                </m:rPr>
                <w:rPr>
                  <w:rFonts w:ascii="Cambria Math" w:eastAsiaTheme="minorEastAsia" w:hAnsi="Cambria Math"/>
                </w:rPr>
                <m:t>=4</m:t>
              </m:r>
            </m:oMath>
            <w:r>
              <w:rPr>
                <w:rFonts w:eastAsiaTheme="minorEastAsia"/>
              </w:rPr>
              <w:t xml:space="preserve"> and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T-DAI</m:t>
                  </m:r>
                </m:sub>
                <m:sup>
                  <m:r>
                    <m:rPr>
                      <m:nor/>
                    </m:rPr>
                    <w:rPr>
                      <w:rFonts w:eastAsiaTheme="minorEastAsia"/>
                    </w:rPr>
                    <m:t>DL</m:t>
                  </m:r>
                </m:sup>
              </m:sSubSup>
              <m:r>
                <m:rPr>
                  <m:sty m:val="p"/>
                </m:rPr>
                <w:rPr>
                  <w:rFonts w:ascii="Cambria Math" w:eastAsiaTheme="minorEastAsia" w:hAnsi="Cambria Math"/>
                </w:rPr>
                <m:t>=4</m:t>
              </m:r>
            </m:oMath>
            <w:r>
              <w:rPr>
                <w:rFonts w:eastAsiaTheme="minorEastAsia"/>
              </w:rPr>
              <w:t xml:space="preserve">” because </w:t>
            </w:r>
            <w:r>
              <w:t>UE can skip the corresponding type-2 HARQ-ACK feedback.</w:t>
            </w:r>
          </w:p>
        </w:tc>
      </w:tr>
      <w:tr w:rsidR="00AA4AC8" w14:paraId="45FC701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DDAC17" w14:textId="77777777" w:rsidR="00AA4AC8" w:rsidRDefault="0082369C">
            <w:pPr>
              <w:jc w:val="center"/>
              <w:rPr>
                <w:rFonts w:eastAsiaTheme="minorEastAsia" w:cs="Arial"/>
              </w:rPr>
            </w:pPr>
            <w:r>
              <w:rPr>
                <w:rFonts w:eastAsiaTheme="minorEastAsia" w:cs="Arial" w:hint="eastAsia"/>
              </w:rPr>
              <w:lastRenderedPageBreak/>
              <w:t>OPPO</w:t>
            </w:r>
          </w:p>
        </w:tc>
        <w:tc>
          <w:tcPr>
            <w:tcW w:w="6840" w:type="dxa"/>
            <w:tcBorders>
              <w:top w:val="single" w:sz="4" w:space="0" w:color="auto"/>
              <w:left w:val="single" w:sz="4" w:space="0" w:color="auto"/>
              <w:bottom w:val="single" w:sz="4" w:space="0" w:color="auto"/>
              <w:right w:val="single" w:sz="4" w:space="0" w:color="auto"/>
            </w:tcBorders>
            <w:vAlign w:val="center"/>
          </w:tcPr>
          <w:p w14:paraId="131FCCB1" w14:textId="77777777" w:rsidR="00AA4AC8" w:rsidRDefault="0082369C">
            <w:pPr>
              <w:snapToGrid w:val="0"/>
              <w:rPr>
                <w:rFonts w:eastAsiaTheme="minorEastAsia"/>
              </w:rPr>
            </w:pPr>
            <w:r>
              <w:rPr>
                <w:rFonts w:eastAsiaTheme="minorEastAsia" w:hint="eastAsia"/>
              </w:rPr>
              <w:t>O</w:t>
            </w:r>
            <w:r>
              <w:rPr>
                <w:rFonts w:eastAsiaTheme="minorEastAsia"/>
              </w:rPr>
              <w:t>ption 1.</w:t>
            </w:r>
          </w:p>
        </w:tc>
      </w:tr>
      <w:tr w:rsidR="00AA4AC8" w14:paraId="63C557A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647793"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94C00BF" w14:textId="77777777" w:rsidR="00AA4AC8" w:rsidRDefault="0082369C">
            <w:pPr>
              <w:snapToGrid w:val="0"/>
              <w:rPr>
                <w:rFonts w:eastAsiaTheme="minorEastAsia"/>
              </w:rPr>
            </w:pPr>
            <w:r>
              <w:rPr>
                <w:rFonts w:eastAsia="MS Mincho"/>
              </w:rPr>
              <w:t xml:space="preserve">We support Option 1 and Alt-1 as the complete proposal. Regarding Apple’s comment on Alt 1, in our understanding, the intention of the 2nd sub-bullet is that if all DCIs </w:t>
            </w:r>
            <w:r>
              <w:rPr>
                <w:rFonts w:eastAsia="MS Mincho"/>
                <w:b/>
                <w:bCs/>
              </w:rPr>
              <w:t>up to the current PDCCH monitoring occasion</w:t>
            </w:r>
            <w:r>
              <w:rPr>
                <w:rFonts w:eastAsia="MS Mincho"/>
              </w:rPr>
              <w:t xml:space="preserve"> are associated with feedback disabled HARQ process. Therefore, gNB does not need to care about the future DCIs. To </w:t>
            </w:r>
            <w:r>
              <w:t>specify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C-DAI</m:t>
                  </m:r>
                </m:sub>
                <m:sup>
                  <m:r>
                    <m:rPr>
                      <m:nor/>
                    </m:rPr>
                    <w:rPr>
                      <w:rFonts w:eastAsiaTheme="minorEastAsia"/>
                    </w:rPr>
                    <m:t>DL</m:t>
                  </m:r>
                </m:sup>
              </m:sSubSup>
              <m:r>
                <m:rPr>
                  <m:sty m:val="p"/>
                </m:rPr>
                <w:rPr>
                  <w:rFonts w:ascii="Cambria Math" w:eastAsiaTheme="minorEastAsia" w:hAnsi="Cambria Math"/>
                </w:rPr>
                <m:t>=4</m:t>
              </m:r>
            </m:oMath>
            <w:r>
              <w:rPr>
                <w:rFonts w:eastAsiaTheme="minorEastAsia"/>
              </w:rPr>
              <w:t xml:space="preserve"> and </w:t>
            </w:r>
            <m:oMath>
              <m:sSubSup>
                <m:sSubSupPr>
                  <m:ctrlPr>
                    <w:rPr>
                      <w:rFonts w:ascii="Cambria Math" w:eastAsiaTheme="minorEastAsia" w:hAnsi="Cambria Math"/>
                    </w:rPr>
                  </m:ctrlPr>
                </m:sSubSupPr>
                <m:e>
                  <m:r>
                    <m:rPr>
                      <m:sty m:val="p"/>
                    </m:rPr>
                    <w:rPr>
                      <w:rFonts w:ascii="Cambria Math" w:eastAsiaTheme="minorEastAsia" w:hAnsi="Cambria Math"/>
                    </w:rPr>
                    <m:t>V</m:t>
                  </m:r>
                </m:e>
                <m:sub>
                  <m:r>
                    <m:rPr>
                      <m:nor/>
                    </m:rPr>
                    <w:rPr>
                      <w:rFonts w:eastAsiaTheme="minorEastAsia"/>
                    </w:rPr>
                    <m:t>T-DAI</m:t>
                  </m:r>
                </m:sub>
                <m:sup>
                  <m:r>
                    <m:rPr>
                      <m:nor/>
                    </m:rPr>
                    <w:rPr>
                      <w:rFonts w:eastAsiaTheme="minorEastAsia"/>
                    </w:rPr>
                    <m:t>DL</m:t>
                  </m:r>
                </m:sup>
              </m:sSubSup>
              <m:r>
                <m:rPr>
                  <m:sty m:val="p"/>
                </m:rPr>
                <w:rPr>
                  <w:rFonts w:ascii="Cambria Math" w:eastAsiaTheme="minorEastAsia" w:hAnsi="Cambria Math"/>
                </w:rPr>
                <m:t>=4</m:t>
              </m:r>
            </m:oMath>
            <w:r>
              <w:rPr>
                <w:rFonts w:eastAsiaTheme="minorEastAsia"/>
              </w:rPr>
              <w:t xml:space="preserve">” would allow UE to know if there was a miss-detected DCI with feedback-enabled process before the current PDCCH monitoring occasion. </w:t>
            </w:r>
          </w:p>
        </w:tc>
      </w:tr>
      <w:tr w:rsidR="00AA4AC8" w14:paraId="21CEF9E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C0C011"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1952592" w14:textId="77777777" w:rsidR="00AA4AC8" w:rsidRDefault="0082369C">
            <w:pPr>
              <w:snapToGrid w:val="0"/>
              <w:rPr>
                <w:rFonts w:eastAsiaTheme="minorEastAsia"/>
              </w:rPr>
            </w:pPr>
            <w:r>
              <w:rPr>
                <w:rFonts w:eastAsiaTheme="minorEastAsia"/>
              </w:rPr>
              <w:t xml:space="preserve">We support </w:t>
            </w:r>
            <w:r>
              <w:rPr>
                <w:rFonts w:eastAsiaTheme="minorEastAsia" w:hint="eastAsia"/>
              </w:rPr>
              <w:t>O</w:t>
            </w:r>
            <w:r>
              <w:rPr>
                <w:rFonts w:eastAsiaTheme="minorEastAsia"/>
              </w:rPr>
              <w:t>ption 1.</w:t>
            </w:r>
          </w:p>
        </w:tc>
      </w:tr>
      <w:tr w:rsidR="00AA4AC8" w14:paraId="54AD854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55DEAC"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54C3877" w14:textId="77777777" w:rsidR="00AA4AC8" w:rsidRDefault="0082369C">
            <w:pPr>
              <w:snapToGrid w:val="0"/>
              <w:rPr>
                <w:rFonts w:eastAsiaTheme="minorEastAsia"/>
              </w:rPr>
            </w:pPr>
            <w:r>
              <w:rPr>
                <w:rFonts w:eastAsiaTheme="minorEastAsia"/>
              </w:rPr>
              <w:t>Support Option 2.</w:t>
            </w:r>
          </w:p>
          <w:p w14:paraId="781EE7BF" w14:textId="77777777" w:rsidR="00AA4AC8" w:rsidRDefault="0082369C">
            <w:pPr>
              <w:snapToGrid w:val="0"/>
              <w:rPr>
                <w:rFonts w:eastAsiaTheme="minorEastAsia"/>
              </w:rPr>
            </w:pPr>
            <w:r>
              <w:rPr>
                <w:rFonts w:eastAsiaTheme="minorEastAsia"/>
              </w:rPr>
              <w:t xml:space="preserve">There is no actual benefit from option 1 while it requires modification for the Type-2 codebook construction at the UE/gNB. </w:t>
            </w:r>
          </w:p>
        </w:tc>
      </w:tr>
      <w:tr w:rsidR="00AA4AC8" w14:paraId="7621AA2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DE7DB6"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5897A32" w14:textId="77777777" w:rsidR="00AA4AC8" w:rsidRDefault="0082369C">
            <w:pPr>
              <w:snapToGrid w:val="0"/>
              <w:rPr>
                <w:rFonts w:eastAsiaTheme="minorEastAsia"/>
              </w:rPr>
            </w:pPr>
            <w:r>
              <w:rPr>
                <w:rFonts w:eastAsiaTheme="minorEastAsia" w:hint="eastAsia"/>
              </w:rPr>
              <w:t>O</w:t>
            </w:r>
            <w:r>
              <w:rPr>
                <w:rFonts w:eastAsiaTheme="minorEastAsia"/>
              </w:rPr>
              <w:t>ption-2, and it seems that the details is pending for Option-1 with a lot of spec impacts.</w:t>
            </w:r>
          </w:p>
        </w:tc>
      </w:tr>
      <w:tr w:rsidR="00AA4AC8" w14:paraId="2311F60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8979C8"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29119871" w14:textId="77777777" w:rsidR="00AA4AC8" w:rsidRDefault="0082369C">
            <w:pPr>
              <w:snapToGrid w:val="0"/>
              <w:rPr>
                <w:rFonts w:eastAsiaTheme="minorEastAsia"/>
              </w:rPr>
            </w:pPr>
            <w:r>
              <w:rPr>
                <w:rFonts w:eastAsiaTheme="minorEastAsia" w:hint="eastAsia"/>
              </w:rPr>
              <w:t>O</w:t>
            </w:r>
            <w:r>
              <w:rPr>
                <w:rFonts w:eastAsiaTheme="minorEastAsia"/>
              </w:rPr>
              <w:t>ption 2.</w:t>
            </w:r>
          </w:p>
        </w:tc>
      </w:tr>
      <w:tr w:rsidR="00AA4AC8" w14:paraId="23EBF2A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182F42"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51D999BE" w14:textId="77777777" w:rsidR="00AA4AC8" w:rsidRDefault="0082369C">
            <w:pPr>
              <w:snapToGrid w:val="0"/>
              <w:rPr>
                <w:rFonts w:eastAsiaTheme="minorEastAsia"/>
              </w:rPr>
            </w:pPr>
            <w:r>
              <w:rPr>
                <w:rFonts w:eastAsiaTheme="minorEastAsia"/>
              </w:rPr>
              <w:t xml:space="preserve">Support Option 1 and Alt 1. </w:t>
            </w:r>
          </w:p>
        </w:tc>
      </w:tr>
      <w:tr w:rsidR="00AA4AC8" w14:paraId="2F53D88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C8DF57"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0E2CCAF3" w14:textId="77777777" w:rsidR="00AA4AC8" w:rsidRDefault="0082369C">
            <w:pPr>
              <w:snapToGrid w:val="0"/>
              <w:rPr>
                <w:rFonts w:eastAsiaTheme="minorEastAsia"/>
              </w:rPr>
            </w:pPr>
            <w:r>
              <w:rPr>
                <w:rFonts w:eastAsiaTheme="minorEastAsia"/>
              </w:rPr>
              <w:t>Option 1 and Alt-1.</w:t>
            </w:r>
          </w:p>
          <w:p w14:paraId="6772848C" w14:textId="77777777" w:rsidR="00AA4AC8" w:rsidRDefault="0082369C">
            <w:pPr>
              <w:snapToGrid w:val="0"/>
              <w:rPr>
                <w:rFonts w:eastAsiaTheme="minorEastAsia"/>
              </w:rPr>
            </w:pPr>
            <w:r>
              <w:rPr>
                <w:rFonts w:eastAsiaTheme="minorEastAsia"/>
              </w:rPr>
              <w:t>The background to Alt-1 is that in case that all HARQ processes are disabled, it is not evident how the C-DAI/T-DAI should be set since there are no enabled processes to be counted. Alt-1 provides a proposal to set a preset value in that case.</w:t>
            </w:r>
          </w:p>
        </w:tc>
      </w:tr>
      <w:tr w:rsidR="00AA4AC8" w14:paraId="3F0B19E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A5D169" w14:textId="77777777" w:rsidR="00AA4AC8" w:rsidRDefault="0082369C">
            <w:pPr>
              <w:jc w:val="center"/>
              <w:rPr>
                <w:rFonts w:eastAsiaTheme="minorEastAsia" w:cs="Arial"/>
              </w:rPr>
            </w:pPr>
            <w:r>
              <w:rPr>
                <w:rFonts w:eastAsiaTheme="minorEastAsia" w:cs="Arial" w:hint="eastAsia"/>
                <w:lang w:val="en-US"/>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7A5F8F58" w14:textId="77777777" w:rsidR="00AA4AC8" w:rsidRDefault="0082369C">
            <w:pPr>
              <w:snapToGrid w:val="0"/>
              <w:rPr>
                <w:rFonts w:eastAsiaTheme="minorEastAsia"/>
              </w:rPr>
            </w:pPr>
            <w:r>
              <w:rPr>
                <w:rFonts w:eastAsiaTheme="minorEastAsia" w:hint="eastAsia"/>
                <w:lang w:val="en-US"/>
              </w:rPr>
              <w:t>We support Option1 in principle.</w:t>
            </w:r>
          </w:p>
        </w:tc>
      </w:tr>
      <w:tr w:rsidR="009858B0" w14:paraId="2772DC3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ECB0C5" w14:textId="77777777" w:rsidR="009858B0" w:rsidRDefault="009858B0">
            <w:pPr>
              <w:jc w:val="center"/>
              <w:rPr>
                <w:rFonts w:eastAsiaTheme="minorEastAsia" w:cs="Arial"/>
                <w:lang w:val="en-US"/>
              </w:rPr>
            </w:pPr>
            <w:r>
              <w:rPr>
                <w:rFonts w:eastAsiaTheme="minorEastAsia" w:cs="Arial" w:hint="eastAsia"/>
                <w:lang w:val="en-US"/>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E463BD9" w14:textId="77777777" w:rsidR="009858B0" w:rsidRDefault="009858B0">
            <w:pPr>
              <w:snapToGrid w:val="0"/>
              <w:rPr>
                <w:rFonts w:eastAsiaTheme="minorEastAsia"/>
                <w:lang w:val="en-US"/>
              </w:rPr>
            </w:pPr>
            <w:r>
              <w:rPr>
                <w:rFonts w:eastAsiaTheme="minorEastAsia"/>
                <w:lang w:val="en-US"/>
              </w:rPr>
              <w:t>S</w:t>
            </w:r>
            <w:r w:rsidRPr="009858B0">
              <w:rPr>
                <w:rFonts w:eastAsiaTheme="minorEastAsia"/>
                <w:lang w:val="en-US"/>
              </w:rPr>
              <w:t>upport Option 1.</w:t>
            </w:r>
          </w:p>
        </w:tc>
      </w:tr>
      <w:tr w:rsidR="00890BF4" w14:paraId="77B47CB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E3E6158" w14:textId="11362FF1" w:rsidR="00890BF4" w:rsidRPr="00890BF4" w:rsidRDefault="00890BF4" w:rsidP="00890BF4">
            <w:pPr>
              <w:jc w:val="center"/>
              <w:rPr>
                <w:rFonts w:eastAsiaTheme="minorEastAsia" w:cs="Arial"/>
                <w:lang w:val="en-US"/>
              </w:rPr>
            </w:pPr>
            <w:r w:rsidRPr="00890BF4">
              <w:rPr>
                <w:rFonts w:eastAsiaTheme="minorEastAsia" w:cs="Arial"/>
                <w:lang w:val="en-US"/>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A292670" w14:textId="66D9E5F9" w:rsidR="00890BF4" w:rsidRDefault="00890BF4" w:rsidP="00890BF4">
            <w:pPr>
              <w:snapToGrid w:val="0"/>
              <w:rPr>
                <w:rFonts w:eastAsiaTheme="minorEastAsia"/>
                <w:lang w:val="en-US"/>
              </w:rPr>
            </w:pPr>
            <w:r>
              <w:rPr>
                <w:rFonts w:eastAsiaTheme="minorEastAsia"/>
                <w:lang w:val="en-US"/>
              </w:rPr>
              <w:t>Support Option 1.</w:t>
            </w:r>
          </w:p>
        </w:tc>
      </w:tr>
    </w:tbl>
    <w:p w14:paraId="7C76B810" w14:textId="77777777" w:rsidR="00AA4AC8" w:rsidRDefault="0082369C">
      <w:pPr>
        <w:spacing w:beforeLines="100" w:before="240"/>
        <w:ind w:left="289"/>
        <w:rPr>
          <w:rStyle w:val="afa"/>
          <w:sz w:val="20"/>
          <w:szCs w:val="20"/>
        </w:rPr>
      </w:pPr>
      <w:r>
        <w:rPr>
          <w:rFonts w:eastAsiaTheme="minorEastAsia"/>
        </w:rPr>
        <w:t>Reg</w:t>
      </w:r>
      <w:r>
        <w:rPr>
          <w:rStyle w:val="afa"/>
          <w:sz w:val="20"/>
          <w:szCs w:val="20"/>
        </w:rPr>
        <w:t>arding the [Initial Proposal 1.2.1-2], it seem</w:t>
      </w:r>
      <w:r>
        <w:rPr>
          <w:rFonts w:eastAsiaTheme="minorEastAsia"/>
        </w:rPr>
        <w:t xml:space="preserve">s that all companies are fine with this proposal except for the clarification question from [Ericsson/Samsung] regarding whether </w:t>
      </w:r>
      <w:r>
        <w:rPr>
          <w:rStyle w:val="afa"/>
          <w:sz w:val="20"/>
          <w:szCs w:val="20"/>
        </w:rPr>
        <w:t xml:space="preserve">the carrier aggregation is in the scope. </w:t>
      </w:r>
      <w:r>
        <w:rPr>
          <w:rStyle w:val="afa"/>
          <w:sz w:val="20"/>
          <w:szCs w:val="20"/>
          <w:u w:val="single"/>
        </w:rPr>
        <w:t xml:space="preserve">From moderator’s perspective, there is no clear description in the WI to preclude the CA in Rel-17. It’s reasonable to achieve the agreement on this part based on the majority’s support. Regarding others, if no additional enhancements are considered for identified issues or no definition on the RAN4 CA-band combination, the CA may not be supported in Rel-17. </w:t>
      </w:r>
    </w:p>
    <w:p w14:paraId="718043B5" w14:textId="77777777" w:rsidR="00AA4AC8" w:rsidRDefault="0082369C">
      <w:pPr>
        <w:pStyle w:val="afc"/>
        <w:shd w:val="clear" w:color="auto" w:fill="FFFFFF"/>
        <w:snapToGrid w:val="0"/>
        <w:spacing w:beforeLines="50" w:before="120" w:afterLines="50" w:after="120"/>
        <w:ind w:left="0"/>
        <w:rPr>
          <w:rFonts w:ascii="Times New Roman" w:hAnsi="Times New Roman"/>
          <w:color w:val="000000" w:themeColor="text1"/>
          <w:sz w:val="21"/>
          <w:szCs w:val="20"/>
          <w:highlight w:val="yellow"/>
        </w:rPr>
      </w:pPr>
      <w:r>
        <w:rPr>
          <w:rFonts w:ascii="Times New Roman" w:hAnsi="Times New Roman"/>
          <w:b/>
          <w:color w:val="000000" w:themeColor="text1"/>
          <w:sz w:val="21"/>
          <w:szCs w:val="20"/>
          <w:highlight w:val="yellow"/>
        </w:rPr>
        <w:t xml:space="preserve">[Initial Proposal 1.2.2-2] </w:t>
      </w:r>
    </w:p>
    <w:p w14:paraId="60B2675F" w14:textId="77777777" w:rsidR="00AA4AC8" w:rsidRDefault="0082369C">
      <w:pPr>
        <w:pStyle w:val="afc"/>
        <w:snapToGrid w:val="0"/>
        <w:spacing w:beforeLines="50" w:before="120" w:after="100" w:afterAutospacing="1"/>
        <w:ind w:left="0"/>
        <w:rPr>
          <w:rFonts w:ascii="Times New Roman" w:hAnsi="Times New Roman"/>
          <w:color w:val="000000" w:themeColor="text1"/>
          <w:sz w:val="21"/>
          <w:szCs w:val="20"/>
        </w:rPr>
      </w:pPr>
      <w:r>
        <w:rPr>
          <w:rFonts w:ascii="Times New Roman" w:hAnsi="Times New Roman"/>
          <w:color w:val="000000" w:themeColor="text1"/>
          <w:sz w:val="21"/>
          <w:szCs w:val="20"/>
          <w:highlight w:val="yellow"/>
        </w:rPr>
        <w:t xml:space="preserve">For DCI indicating SCell dormancy without scheduling a PDSCH reception, HARQ-ACK report is as in Rel-16. </w:t>
      </w:r>
    </w:p>
    <w:p w14:paraId="373481A7" w14:textId="77777777" w:rsidR="00AA4AC8" w:rsidRDefault="0082369C">
      <w:pPr>
        <w:snapToGrid w:val="0"/>
        <w:spacing w:beforeLines="50" w:before="120" w:afterLines="50" w:after="120"/>
        <w:ind w:left="288"/>
        <w:rPr>
          <w:color w:val="000000" w:themeColor="text1"/>
          <w:highlight w:val="yellow"/>
        </w:rPr>
      </w:pPr>
      <w:r>
        <w:rPr>
          <w:rFonts w:eastAsiaTheme="minorEastAsia"/>
        </w:rPr>
        <w:t>Please provide your views below including whether CA is within the scope or not.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51A1533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5EAAD9"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ECD3619" w14:textId="77777777" w:rsidR="00AA4AC8" w:rsidRDefault="0082369C">
            <w:pPr>
              <w:jc w:val="center"/>
              <w:rPr>
                <w:b/>
                <w:sz w:val="28"/>
              </w:rPr>
            </w:pPr>
            <w:r>
              <w:rPr>
                <w:b/>
                <w:sz w:val="22"/>
              </w:rPr>
              <w:t>Comments and Views</w:t>
            </w:r>
          </w:p>
        </w:tc>
      </w:tr>
      <w:tr w:rsidR="00AA4AC8" w14:paraId="01F8BF8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035C99"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5D0422B6" w14:textId="77777777" w:rsidR="00AA4AC8" w:rsidRDefault="0082369C">
            <w:pPr>
              <w:spacing w:after="120" w:line="252" w:lineRule="auto"/>
              <w:rPr>
                <w:bCs/>
              </w:rPr>
            </w:pPr>
            <w:r>
              <w:rPr>
                <w:bCs/>
              </w:rPr>
              <w:t xml:space="preserve">It seems that CA is not supported from RAN4 point of view in Rel-17, based on the following RAN4 agreements in </w:t>
            </w:r>
          </w:p>
          <w:p w14:paraId="02B484C0" w14:textId="77777777" w:rsidR="00AA4AC8" w:rsidRDefault="0082369C">
            <w:pPr>
              <w:pStyle w:val="afc"/>
              <w:numPr>
                <w:ilvl w:val="0"/>
                <w:numId w:val="18"/>
              </w:numPr>
              <w:spacing w:after="120" w:line="252" w:lineRule="auto"/>
              <w:rPr>
                <w:bCs/>
                <w:highlight w:val="green"/>
              </w:rPr>
            </w:pPr>
            <w:r>
              <w:rPr>
                <w:bCs/>
                <w:highlight w:val="green"/>
              </w:rPr>
              <w:lastRenderedPageBreak/>
              <w:t>Agreements:</w:t>
            </w:r>
          </w:p>
          <w:p w14:paraId="62556B0D" w14:textId="77777777" w:rsidR="00AA4AC8" w:rsidRDefault="0082369C">
            <w:pPr>
              <w:pStyle w:val="afc"/>
              <w:numPr>
                <w:ilvl w:val="1"/>
                <w:numId w:val="18"/>
              </w:numPr>
              <w:spacing w:after="120" w:line="252" w:lineRule="auto"/>
              <w:rPr>
                <w:bCs/>
                <w:highlight w:val="green"/>
              </w:rPr>
            </w:pPr>
            <w:r>
              <w:rPr>
                <w:rFonts w:eastAsiaTheme="minorEastAsia"/>
                <w:highlight w:val="green"/>
              </w:rPr>
              <w:t>RAN4 does not consider MR-DC/CA for measurement and mobility in Rel-17</w:t>
            </w:r>
          </w:p>
        </w:tc>
      </w:tr>
      <w:tr w:rsidR="00AA4AC8" w14:paraId="6605513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D73996" w14:textId="77777777" w:rsidR="00AA4AC8" w:rsidRDefault="0082369C">
            <w:pPr>
              <w:jc w:val="center"/>
              <w:rPr>
                <w:rFonts w:cs="Arial"/>
              </w:rPr>
            </w:pPr>
            <w:r>
              <w:rPr>
                <w:rFonts w:cs="Arial"/>
              </w:rPr>
              <w:lastRenderedPageBreak/>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61C91026" w14:textId="77777777" w:rsidR="00AA4AC8" w:rsidRDefault="0082369C">
            <w:pPr>
              <w:spacing w:after="120" w:line="252" w:lineRule="auto"/>
              <w:rPr>
                <w:bCs/>
              </w:rPr>
            </w:pPr>
            <w:r>
              <w:rPr>
                <w:bCs/>
              </w:rPr>
              <w:t>Support.</w:t>
            </w:r>
          </w:p>
          <w:p w14:paraId="797D7EC8" w14:textId="77777777" w:rsidR="00AA4AC8" w:rsidRDefault="0082369C">
            <w:pPr>
              <w:spacing w:after="120" w:line="252" w:lineRule="auto"/>
              <w:rPr>
                <w:bCs/>
              </w:rPr>
            </w:pPr>
            <w:r>
              <w:rPr>
                <w:bCs/>
              </w:rPr>
              <w:t>Regarding CA, even when RAN4 does not support CA, RAN1 should specify it since RAN4 can include CA in later release without RAN1 work, which is normal way in 3GPP.</w:t>
            </w:r>
          </w:p>
          <w:p w14:paraId="5E75BDF5" w14:textId="77777777" w:rsidR="00AA4AC8" w:rsidRDefault="0082369C">
            <w:pPr>
              <w:spacing w:after="120" w:line="252" w:lineRule="auto"/>
              <w:rPr>
                <w:bCs/>
              </w:rPr>
            </w:pPr>
            <w:r>
              <w:rPr>
                <w:bCs/>
              </w:rPr>
              <w:t>In addition, if CA is not considered, then why we are discussing T-DAI so far? In non-CA case, C-DAI is sufficient, right?</w:t>
            </w:r>
          </w:p>
        </w:tc>
      </w:tr>
      <w:tr w:rsidR="00AA4AC8" w14:paraId="3B81DC2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09BCCA" w14:textId="77777777" w:rsidR="00AA4AC8" w:rsidRDefault="0082369C">
            <w:pPr>
              <w:jc w:val="center"/>
              <w:rPr>
                <w:rFonts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19C7D5C" w14:textId="77777777" w:rsidR="00AA4AC8" w:rsidRDefault="0082369C">
            <w:pPr>
              <w:spacing w:after="120" w:line="252" w:lineRule="auto"/>
              <w:rPr>
                <w:bCs/>
              </w:rPr>
            </w:pPr>
            <w:r>
              <w:rPr>
                <w:rFonts w:eastAsia="MS Mincho"/>
                <w:bCs/>
              </w:rPr>
              <w:t xml:space="preserve">Support proposal regardless of RAN4 situation. </w:t>
            </w:r>
          </w:p>
        </w:tc>
      </w:tr>
      <w:tr w:rsidR="00AA4AC8" w14:paraId="5AF60B7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E7CB09" w14:textId="77777777" w:rsidR="00AA4AC8" w:rsidRDefault="0082369C">
            <w:pPr>
              <w:jc w:val="center"/>
              <w:rPr>
                <w:rFonts w:eastAsia="MS Mincho" w:cs="Arial"/>
              </w:rPr>
            </w:pPr>
            <w:r>
              <w:rPr>
                <w:rFonts w:eastAsia="MS Mincho"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7A6516AC" w14:textId="77777777" w:rsidR="00AA4AC8" w:rsidRDefault="0082369C">
            <w:pPr>
              <w:spacing w:after="120" w:line="252" w:lineRule="auto"/>
              <w:rPr>
                <w:rFonts w:eastAsia="MS Mincho"/>
                <w:bCs/>
              </w:rPr>
            </w:pPr>
            <w:r>
              <w:rPr>
                <w:rFonts w:eastAsia="MS Mincho"/>
                <w:bCs/>
              </w:rPr>
              <w:t xml:space="preserve">Do not support. </w:t>
            </w:r>
          </w:p>
          <w:p w14:paraId="1323AED0" w14:textId="77777777" w:rsidR="00AA4AC8" w:rsidRDefault="0082369C">
            <w:pPr>
              <w:spacing w:after="120" w:line="252" w:lineRule="auto"/>
              <w:rPr>
                <w:rFonts w:eastAsia="MS Mincho"/>
                <w:bCs/>
              </w:rPr>
            </w:pPr>
            <w:r>
              <w:rPr>
                <w:rFonts w:eastAsia="MS Mincho"/>
                <w:bCs/>
              </w:rPr>
              <w:t xml:space="preserve">Agreements should remain within applicable areas for the WI. There are other cases as well in Rel-17 where the UE reports HARQ-ACK without an associated TB, such as for beam update, which are also irrelevant to Rel-17 NTN. Also, an agreement is not needed as nothing changes compared to Rel-16 and there is no associated HARQ process for Rel-17 NTN to have a relevance. </w:t>
            </w:r>
          </w:p>
        </w:tc>
      </w:tr>
      <w:tr w:rsidR="00AA4AC8" w14:paraId="06815AD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2202DC"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FD481B9" w14:textId="77777777" w:rsidR="00AA4AC8" w:rsidRDefault="0082369C">
            <w:pPr>
              <w:spacing w:after="120" w:line="252" w:lineRule="auto"/>
              <w:rPr>
                <w:rFonts w:eastAsiaTheme="minorEastAsia"/>
                <w:bCs/>
              </w:rPr>
            </w:pPr>
            <w:r>
              <w:rPr>
                <w:rFonts w:eastAsiaTheme="minorEastAsia" w:hint="eastAsia"/>
                <w:bCs/>
              </w:rPr>
              <w:t>S</w:t>
            </w:r>
            <w:r>
              <w:rPr>
                <w:rFonts w:eastAsiaTheme="minorEastAsia"/>
                <w:bCs/>
              </w:rPr>
              <w:t>hare the views as DCM.  But also to postpone it once the CA will be treated in RAN4.</w:t>
            </w:r>
          </w:p>
        </w:tc>
      </w:tr>
      <w:tr w:rsidR="00890BF4" w14:paraId="22C9135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22F975" w14:textId="62F59B1C" w:rsidR="00890BF4" w:rsidRPr="00890BF4" w:rsidRDefault="00890BF4" w:rsidP="00890BF4">
            <w:pPr>
              <w:jc w:val="center"/>
              <w:rPr>
                <w:rFonts w:eastAsiaTheme="minorEastAsia" w:cs="Arial"/>
              </w:rPr>
            </w:pPr>
            <w:r w:rsidRPr="00890BF4">
              <w:rPr>
                <w:rFonts w:eastAsiaTheme="minorEastAsia"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6C8DCBD" w14:textId="034C61E9" w:rsidR="00890BF4" w:rsidRDefault="00890BF4" w:rsidP="00890BF4">
            <w:pPr>
              <w:spacing w:after="120" w:line="252" w:lineRule="auto"/>
              <w:rPr>
                <w:rFonts w:eastAsiaTheme="minorEastAsia"/>
                <w:bCs/>
              </w:rPr>
            </w:pPr>
            <w:r w:rsidRPr="0094753D">
              <w:rPr>
                <w:rFonts w:eastAsiaTheme="minorEastAsia"/>
                <w:bCs/>
              </w:rPr>
              <w:t>This proposal has no specification impact. There is no HARQ process associated with the DCI so the configured enabling/disabling of HARQ feedback per HARQ process does not apply. There is no need for this proposal since Rel-16 behaviour applies by default.</w:t>
            </w:r>
          </w:p>
        </w:tc>
      </w:tr>
    </w:tbl>
    <w:p w14:paraId="17894ADC" w14:textId="58039903" w:rsidR="00064D7C" w:rsidRPr="00064D7C" w:rsidRDefault="00064D7C" w:rsidP="00064D7C">
      <w:pPr>
        <w:pStyle w:val="3"/>
        <w:numPr>
          <w:ilvl w:val="2"/>
          <w:numId w:val="10"/>
        </w:numPr>
        <w:rPr>
          <w:rFonts w:ascii="Times New Roman" w:eastAsiaTheme="minorEastAsia" w:hAnsi="Times New Roman"/>
          <w:b/>
          <w:sz w:val="22"/>
        </w:rPr>
      </w:pPr>
      <w:r w:rsidRPr="00064D7C">
        <w:rPr>
          <w:rFonts w:ascii="Times New Roman" w:eastAsiaTheme="minorEastAsia" w:hAnsi="Times New Roman"/>
          <w:b/>
          <w:sz w:val="22"/>
        </w:rPr>
        <w:t>Updated based on the email discussion</w:t>
      </w:r>
    </w:p>
    <w:p w14:paraId="09098755" w14:textId="7E82ED96" w:rsidR="00064D7C" w:rsidRPr="00EC6BE1" w:rsidRDefault="00064D7C" w:rsidP="00064D7C">
      <w:pPr>
        <w:pStyle w:val="afc"/>
        <w:snapToGrid w:val="0"/>
        <w:ind w:left="288"/>
        <w:rPr>
          <w:rFonts w:ascii="Times New Roman" w:hAnsi="Times New Roman"/>
          <w:color w:val="000000" w:themeColor="text1"/>
          <w:sz w:val="20"/>
          <w:szCs w:val="20"/>
          <w:highlight w:val="yellow"/>
        </w:rPr>
      </w:pPr>
      <w:r w:rsidRPr="00EC6BE1">
        <w:rPr>
          <w:rFonts w:ascii="Times New Roman" w:eastAsiaTheme="minorEastAsia" w:hAnsi="Times New Roman"/>
          <w:sz w:val="20"/>
          <w:szCs w:val="20"/>
        </w:rPr>
        <w:t xml:space="preserve">Regarding the </w:t>
      </w:r>
      <w:r w:rsidRPr="00EC6BE1">
        <w:rPr>
          <w:rFonts w:ascii="Times New Roman" w:hAnsi="Times New Roman"/>
          <w:color w:val="000000" w:themeColor="text1"/>
          <w:sz w:val="20"/>
          <w:szCs w:val="20"/>
          <w:highlight w:val="yellow"/>
        </w:rPr>
        <w:t>[Initial Proposal 1.2.2-1]</w:t>
      </w:r>
      <w:r>
        <w:rPr>
          <w:rFonts w:ascii="Times New Roman" w:hAnsi="Times New Roman"/>
          <w:color w:val="000000" w:themeColor="text1"/>
          <w:sz w:val="20"/>
          <w:szCs w:val="20"/>
          <w:highlight w:val="yellow"/>
        </w:rPr>
        <w:t xml:space="preserve">, </w:t>
      </w:r>
      <w:r w:rsidRPr="00EC6BE1">
        <w:rPr>
          <w:rFonts w:ascii="Times New Roman" w:eastAsiaTheme="minorEastAsia" w:hAnsi="Times New Roman"/>
          <w:sz w:val="20"/>
          <w:szCs w:val="20"/>
        </w:rPr>
        <w:t xml:space="preserve">it seems that slight majority is fine </w:t>
      </w:r>
      <w:r>
        <w:rPr>
          <w:rFonts w:ascii="Times New Roman" w:eastAsiaTheme="minorEastAsia" w:hAnsi="Times New Roman"/>
          <w:sz w:val="20"/>
          <w:szCs w:val="20"/>
        </w:rPr>
        <w:t>with Option-1, but there is still concern on Alt-1 without other proposals. From moderator’s perspective, it’s still prefer to take the whole Option-1 for GTW instead of keep FFS in the last meeting.</w:t>
      </w:r>
      <w:r w:rsidR="00AC7A9D">
        <w:rPr>
          <w:rFonts w:ascii="Times New Roman" w:eastAsiaTheme="minorEastAsia" w:hAnsi="Times New Roman"/>
          <w:sz w:val="20"/>
          <w:szCs w:val="20"/>
        </w:rPr>
        <w:t xml:space="preserve"> Then, the original proposal by removing alt-2 in Option-1 is listed in section 9.1 for GTW.</w:t>
      </w:r>
    </w:p>
    <w:p w14:paraId="2B86D2A2" w14:textId="4FDEDB2E" w:rsidR="00AA4AC8" w:rsidRPr="00064D7C" w:rsidRDefault="00064D7C">
      <w:pPr>
        <w:spacing w:beforeLines="100" w:before="240"/>
        <w:ind w:left="289"/>
        <w:rPr>
          <w:rFonts w:eastAsiaTheme="minorEastAsia"/>
        </w:rPr>
      </w:pPr>
      <w:r>
        <w:rPr>
          <w:rFonts w:eastAsiaTheme="minorEastAsia"/>
        </w:rPr>
        <w:t>Reg</w:t>
      </w:r>
      <w:r>
        <w:rPr>
          <w:rStyle w:val="afa"/>
          <w:sz w:val="20"/>
          <w:szCs w:val="20"/>
        </w:rPr>
        <w:t xml:space="preserve">arding the </w:t>
      </w:r>
      <w:r w:rsidRPr="004609CA">
        <w:rPr>
          <w:rStyle w:val="afa"/>
          <w:sz w:val="20"/>
          <w:szCs w:val="20"/>
          <w:highlight w:val="yellow"/>
        </w:rPr>
        <w:t>[Initial Proposal 1.2.2-2]</w:t>
      </w:r>
      <w:r>
        <w:rPr>
          <w:rStyle w:val="afa"/>
          <w:sz w:val="20"/>
          <w:szCs w:val="20"/>
        </w:rPr>
        <w:t xml:space="preserve">, with consideration on the views, proponent are encouraged to further check with others. </w:t>
      </w:r>
      <w:r w:rsidR="00E85720">
        <w:rPr>
          <w:rStyle w:val="afa"/>
          <w:sz w:val="20"/>
          <w:szCs w:val="20"/>
        </w:rPr>
        <w:t>No further discussion in RAN1#107e is expected.</w:t>
      </w:r>
    </w:p>
    <w:p w14:paraId="6E4B533C"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Type-3 Codebook: </w:t>
      </w:r>
    </w:p>
    <w:p w14:paraId="5AC52273"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7C78725" w14:textId="77777777" w:rsidR="00AA4AC8" w:rsidRDefault="0082369C">
      <w:pPr>
        <w:pStyle w:val="afc"/>
        <w:snapToGrid w:val="0"/>
        <w:spacing w:beforeLines="50" w:before="120" w:afterLines="50" w:after="120"/>
        <w:ind w:left="360"/>
      </w:pPr>
      <w:r>
        <w:rPr>
          <w:rFonts w:ascii="Times New Roman" w:eastAsiaTheme="minorEastAsia" w:hAnsi="Times New Roman"/>
          <w:sz w:val="20"/>
          <w:szCs w:val="20"/>
        </w:rPr>
        <w:t>For this topic, following views are shared in this meeting:</w:t>
      </w:r>
    </w:p>
    <w:p w14:paraId="1C986977" w14:textId="77777777" w:rsidR="00AA4AC8" w:rsidRDefault="0082369C">
      <w:pPr>
        <w:pStyle w:val="afc"/>
        <w:numPr>
          <w:ilvl w:val="1"/>
          <w:numId w:val="19"/>
        </w:numPr>
        <w:snapToGrid w:val="0"/>
        <w:spacing w:beforeLines="50" w:before="120" w:afterLines="50" w:after="120"/>
        <w:ind w:leftChars="310"/>
        <w:rPr>
          <w:rFonts w:ascii="Times New Roman" w:eastAsiaTheme="minorEastAsia" w:hAnsi="Times New Roman"/>
          <w:sz w:val="20"/>
          <w:szCs w:val="20"/>
        </w:rPr>
      </w:pPr>
      <w:r>
        <w:rPr>
          <w:rFonts w:ascii="Times New Roman" w:eastAsiaTheme="minorEastAsia" w:hAnsi="Times New Roman"/>
          <w:sz w:val="20"/>
          <w:szCs w:val="20"/>
        </w:rPr>
        <w:t xml:space="preserve">Option-1: For Type-3, </w:t>
      </w:r>
      <w:r>
        <w:rPr>
          <w:rFonts w:ascii="Times New Roman" w:hAnsi="Times New Roman"/>
          <w:sz w:val="20"/>
          <w:szCs w:val="20"/>
        </w:rPr>
        <w:t xml:space="preserve">HARQ-ACK codebook only includes HARQ-ACK of all the enabled HARQ processes in one shot </w:t>
      </w:r>
      <w:r>
        <w:rPr>
          <w:rFonts w:ascii="Times New Roman" w:eastAsiaTheme="minorEastAsia" w:hAnsi="Times New Roman"/>
          <w:sz w:val="20"/>
          <w:szCs w:val="20"/>
        </w:rPr>
        <w:t>[Huawei, vivo, Xiaomi/Spreadtrum (if Type-3 is supported for NTN), Baicell, ZTE, Ericsson, LG]</w:t>
      </w:r>
      <w:r>
        <w:rPr>
          <w:rFonts w:ascii="Times New Roman" w:hAnsi="Times New Roman"/>
          <w:sz w:val="20"/>
          <w:szCs w:val="20"/>
        </w:rPr>
        <w:t xml:space="preserve"> </w:t>
      </w:r>
    </w:p>
    <w:p w14:paraId="1E12B799" w14:textId="77777777" w:rsidR="00AA4AC8" w:rsidRDefault="0082369C">
      <w:pPr>
        <w:pStyle w:val="afc"/>
        <w:numPr>
          <w:ilvl w:val="1"/>
          <w:numId w:val="19"/>
        </w:numPr>
        <w:snapToGrid w:val="0"/>
        <w:spacing w:beforeLines="50" w:before="120" w:afterLines="50" w:after="120"/>
        <w:ind w:leftChars="310"/>
        <w:rPr>
          <w:rFonts w:ascii="Times New Roman" w:eastAsiaTheme="minorEastAsia" w:hAnsi="Times New Roman"/>
          <w:sz w:val="20"/>
          <w:szCs w:val="20"/>
        </w:rPr>
      </w:pPr>
      <w:r>
        <w:rPr>
          <w:rFonts w:ascii="Times New Roman" w:eastAsiaTheme="minorEastAsia" w:hAnsi="Times New Roman"/>
          <w:sz w:val="20"/>
          <w:szCs w:val="20"/>
        </w:rPr>
        <w:t>Option-2</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No enhancement [OPPO, Nokia, CATT]</w:t>
      </w:r>
    </w:p>
    <w:p w14:paraId="4F1A395B" w14:textId="77777777" w:rsidR="00AA4AC8" w:rsidRDefault="0082369C">
      <w:pPr>
        <w:snapToGrid w:val="0"/>
        <w:spacing w:beforeLines="50" w:before="120" w:afterLines="50" w:after="120"/>
        <w:ind w:left="424"/>
        <w:rPr>
          <w:iCs/>
        </w:rPr>
      </w:pPr>
      <w:r>
        <w:rPr>
          <w:iCs/>
        </w:rPr>
        <w:t>Based on the inputs above, it seems that companies’ views including justification is same as before. From moderator perspective, the supports on the Type-3 can also be considered since it can also be used for licensed band. Moreover, as a generic solution for Rel-16, it’s also reasonable to take it for NTN in Rel-17 with limited efforts. Then, following proposal is made based on majority views</w:t>
      </w:r>
      <w:r>
        <w:rPr>
          <w:rFonts w:hint="eastAsia"/>
          <w:iCs/>
        </w:rPr>
        <w:t>:</w:t>
      </w:r>
    </w:p>
    <w:p w14:paraId="3C172A8E" w14:textId="77777777" w:rsidR="00AA4AC8" w:rsidRDefault="0082369C">
      <w:pPr>
        <w:snapToGrid w:val="0"/>
        <w:spacing w:beforeLines="50" w:before="120" w:afterLines="50" w:after="120"/>
        <w:ind w:left="424"/>
        <w:rPr>
          <w:iCs/>
        </w:rPr>
      </w:pPr>
      <w:r>
        <w:rPr>
          <w:b/>
          <w:color w:val="000000" w:themeColor="text1"/>
          <w:highlight w:val="yellow"/>
        </w:rPr>
        <w:t xml:space="preserve">[Initial Proposal 1.3.1]: </w:t>
      </w:r>
      <w:r>
        <w:rPr>
          <w:rFonts w:eastAsiaTheme="minorEastAsia" w:hint="eastAsia"/>
          <w:highlight w:val="yellow"/>
        </w:rPr>
        <w:t>F</w:t>
      </w:r>
      <w:r>
        <w:rPr>
          <w:rFonts w:eastAsiaTheme="minorEastAsia"/>
          <w:highlight w:val="yellow"/>
        </w:rPr>
        <w:t xml:space="preserve">or Type-3 HARQ codebook in NTN, the UE should skip the codebook feedback for a </w:t>
      </w:r>
      <w:r>
        <w:rPr>
          <w:highlight w:val="yellow"/>
        </w:rPr>
        <w:t>feedback-disabled HARQ processes</w:t>
      </w:r>
    </w:p>
    <w:p w14:paraId="5FC862E6" w14:textId="77777777" w:rsidR="00AA4AC8" w:rsidRDefault="0082369C">
      <w:pPr>
        <w:snapToGrid w:val="0"/>
        <w:spacing w:beforeLines="50" w:before="120" w:afterLines="50" w:after="120"/>
        <w:ind w:left="424" w:firstLine="136"/>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3A85234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86FF2D" w14:textId="77777777" w:rsidR="00AA4AC8" w:rsidRDefault="0082369C">
            <w:pPr>
              <w:jc w:val="center"/>
              <w:rPr>
                <w:b/>
                <w:sz w:val="28"/>
              </w:rPr>
            </w:pPr>
            <w:r>
              <w:rPr>
                <w:b/>
                <w:sz w:val="22"/>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tcPr>
          <w:p w14:paraId="46F83139" w14:textId="77777777" w:rsidR="00AA4AC8" w:rsidRDefault="0082369C">
            <w:pPr>
              <w:jc w:val="center"/>
              <w:rPr>
                <w:b/>
                <w:sz w:val="28"/>
              </w:rPr>
            </w:pPr>
            <w:r>
              <w:rPr>
                <w:b/>
                <w:sz w:val="22"/>
              </w:rPr>
              <w:t>Comments and Views</w:t>
            </w:r>
          </w:p>
        </w:tc>
      </w:tr>
      <w:tr w:rsidR="00AA4AC8" w14:paraId="2A213E0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A8721B"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92E3891" w14:textId="77777777" w:rsidR="00AA4AC8" w:rsidRDefault="0082369C">
            <w:pPr>
              <w:snapToGrid w:val="0"/>
            </w:pPr>
            <w:r>
              <w:t>Not support.</w:t>
            </w:r>
          </w:p>
          <w:p w14:paraId="7D3D0CCE" w14:textId="77777777" w:rsidR="00AA4AC8" w:rsidRDefault="0082369C">
            <w:pPr>
              <w:snapToGrid w:val="0"/>
            </w:pPr>
            <w:r>
              <w:t xml:space="preserve">With the note that Type-3 HARQ codebook will </w:t>
            </w:r>
            <w:r>
              <w:rPr>
                <w:b/>
                <w:bCs/>
              </w:rPr>
              <w:t>always</w:t>
            </w:r>
            <w:r>
              <w:t xml:space="preserve"> be less efficient than the alternatives, we have doubts that any sensible network configuration will configure the UE with the Type-3 HARQ codebook, so we still do not see the need for optimizing here.</w:t>
            </w:r>
          </w:p>
        </w:tc>
      </w:tr>
      <w:tr w:rsidR="00AA4AC8" w14:paraId="326424C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55BB35"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6BFBB538" w14:textId="77777777" w:rsidR="00AA4AC8" w:rsidRDefault="0082369C">
            <w:pPr>
              <w:snapToGrid w:val="0"/>
              <w:rPr>
                <w:rFonts w:eastAsiaTheme="minorEastAsia"/>
              </w:rPr>
            </w:pPr>
            <w:r>
              <w:rPr>
                <w:rFonts w:eastAsiaTheme="minorEastAsia" w:hint="eastAsia"/>
              </w:rPr>
              <w:t>N</w:t>
            </w:r>
            <w:r>
              <w:rPr>
                <w:rFonts w:eastAsiaTheme="minorEastAsia"/>
              </w:rPr>
              <w:t>ot support.</w:t>
            </w:r>
          </w:p>
        </w:tc>
      </w:tr>
      <w:tr w:rsidR="00AA4AC8" w14:paraId="5F269F3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E47EE6"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6E520C2" w14:textId="77777777" w:rsidR="00AA4AC8" w:rsidRDefault="0082369C">
            <w:pPr>
              <w:snapToGrid w:val="0"/>
              <w:rPr>
                <w:rFonts w:eastAsiaTheme="minorEastAsia"/>
              </w:rPr>
            </w:pPr>
            <w:r>
              <w:rPr>
                <w:rFonts w:eastAsiaTheme="minorEastAsia" w:hint="eastAsia"/>
              </w:rPr>
              <w:t>A</w:t>
            </w:r>
            <w:r>
              <w:rPr>
                <w:rFonts w:eastAsiaTheme="minorEastAsia"/>
              </w:rPr>
              <w:t>gree</w:t>
            </w:r>
          </w:p>
        </w:tc>
      </w:tr>
      <w:tr w:rsidR="00AA4AC8" w14:paraId="016F34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B63081"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536FC1EB" w14:textId="77777777" w:rsidR="00AA4AC8" w:rsidRDefault="0082369C">
            <w:pPr>
              <w:snapToGrid w:val="0"/>
              <w:rPr>
                <w:rFonts w:eastAsiaTheme="minorEastAsia"/>
              </w:rPr>
            </w:pPr>
            <w:r>
              <w:rPr>
                <w:rFonts w:eastAsiaTheme="minorEastAsia"/>
              </w:rPr>
              <w:t>Agree – otherwise, as for Type-1, there is no reason for a UE to be configured HARQ processes with disabled HARQ-ACK because that does not matter when the UE always reports ACK/NACK.</w:t>
            </w:r>
          </w:p>
        </w:tc>
      </w:tr>
      <w:tr w:rsidR="00AA4AC8" w14:paraId="631ABE9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3574D1"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77CF346A" w14:textId="77777777" w:rsidR="00AA4AC8" w:rsidRDefault="0082369C">
            <w:pPr>
              <w:snapToGrid w:val="0"/>
              <w:rPr>
                <w:rFonts w:eastAsiaTheme="minorEastAsia"/>
              </w:rPr>
            </w:pPr>
            <w:r>
              <w:rPr>
                <w:rFonts w:eastAsiaTheme="minorEastAsia" w:hint="eastAsia"/>
              </w:rPr>
              <w:t>Support.</w:t>
            </w:r>
          </w:p>
        </w:tc>
      </w:tr>
      <w:tr w:rsidR="00AA4AC8" w14:paraId="0084EDF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0E23F0" w14:textId="77777777" w:rsidR="00AA4AC8" w:rsidRDefault="0082369C">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7D855E70" w14:textId="77777777" w:rsidR="00AA4AC8" w:rsidRDefault="0082369C">
            <w:pPr>
              <w:snapToGrid w:val="0"/>
              <w:rPr>
                <w:rFonts w:eastAsiaTheme="minorEastAsia"/>
              </w:rPr>
            </w:pPr>
            <w:r>
              <w:rPr>
                <w:rFonts w:eastAsiaTheme="minorEastAsia"/>
              </w:rPr>
              <w:t>Support</w:t>
            </w:r>
          </w:p>
        </w:tc>
      </w:tr>
      <w:tr w:rsidR="00AA4AC8" w14:paraId="1006B90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AAF421"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67645B12" w14:textId="77777777" w:rsidR="00AA4AC8" w:rsidRDefault="0082369C">
            <w:pPr>
              <w:snapToGrid w:val="0"/>
              <w:rPr>
                <w:rFonts w:eastAsiaTheme="minorEastAsia"/>
              </w:rPr>
            </w:pPr>
            <w:r>
              <w:rPr>
                <w:rFonts w:eastAsiaTheme="minorEastAsia"/>
              </w:rPr>
              <w:t>Support the FL proposal.</w:t>
            </w:r>
          </w:p>
        </w:tc>
      </w:tr>
      <w:tr w:rsidR="00AA4AC8" w14:paraId="7F4C30D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F458CA"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4FF4021" w14:textId="77777777" w:rsidR="00AA4AC8" w:rsidRDefault="0082369C">
            <w:pPr>
              <w:snapToGrid w:val="0"/>
              <w:rPr>
                <w:rFonts w:eastAsiaTheme="minorEastAsia"/>
              </w:rPr>
            </w:pPr>
            <w:r>
              <w:rPr>
                <w:rFonts w:eastAsiaTheme="minorEastAsia"/>
              </w:rPr>
              <w:t>We can accept this proposal for making progress.</w:t>
            </w:r>
          </w:p>
        </w:tc>
      </w:tr>
      <w:tr w:rsidR="00AA4AC8" w14:paraId="372F24A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FA95E1"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0549043"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4A12568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9E9528"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CCCDBA0" w14:textId="77777777" w:rsidR="00AA4AC8" w:rsidRDefault="0082369C">
            <w:pPr>
              <w:snapToGrid w:val="0"/>
              <w:rPr>
                <w:rFonts w:eastAsiaTheme="minorEastAsia"/>
              </w:rPr>
            </w:pPr>
            <w:r>
              <w:rPr>
                <w:rFonts w:eastAsiaTheme="minorEastAsia"/>
              </w:rPr>
              <w:t>Support</w:t>
            </w:r>
          </w:p>
        </w:tc>
      </w:tr>
      <w:tr w:rsidR="00AA4AC8" w14:paraId="27F320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8E44DF" w14:textId="77777777" w:rsidR="00AA4AC8" w:rsidRDefault="0082369C">
            <w:pPr>
              <w:jc w:val="center"/>
              <w:rPr>
                <w:rFonts w:eastAsiaTheme="minorEastAsia"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38F4F1F5" w14:textId="77777777" w:rsidR="00AA4AC8" w:rsidRDefault="0082369C">
            <w:pPr>
              <w:snapToGrid w:val="0"/>
              <w:rPr>
                <w:rFonts w:eastAsiaTheme="minorEastAsia"/>
              </w:rPr>
            </w:pPr>
            <w:r>
              <w:t>Support</w:t>
            </w:r>
          </w:p>
        </w:tc>
      </w:tr>
    </w:tbl>
    <w:p w14:paraId="353CD419"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Summary based on the email discussion [Round-2 via email reflector]</w:t>
      </w:r>
    </w:p>
    <w:p w14:paraId="79A19533" w14:textId="77777777" w:rsidR="00AA4AC8" w:rsidRDefault="0082369C">
      <w:pPr>
        <w:spacing w:beforeLines="50" w:before="120" w:after="120"/>
        <w:ind w:left="288"/>
        <w:rPr>
          <w:rFonts w:eastAsiaTheme="minorEastAsia"/>
        </w:rPr>
      </w:pPr>
      <w:r>
        <w:t xml:space="preserve">For this topic, it seems that there is clear majority’s support on the </w:t>
      </w:r>
      <w:r>
        <w:rPr>
          <w:highlight w:val="yellow"/>
        </w:rPr>
        <w:t>[Initial Proposal 1.3.1]</w:t>
      </w:r>
      <w:r>
        <w:t>.</w:t>
      </w:r>
      <w:r>
        <w:rPr>
          <w:rFonts w:eastAsiaTheme="minorEastAsia"/>
        </w:rPr>
        <w:t xml:space="preserve"> Regarding the concerns from </w:t>
      </w:r>
      <w:r>
        <w:t>[Nokia,OPPO] on the needs of this solution, from moderator’s perspective, gains are identified by companies as summarized in section 1.3, which is also aligned with the discussion in previous meeting. Then, no</w:t>
      </w:r>
      <w:r>
        <w:rPr>
          <w:rFonts w:hint="eastAsia"/>
        </w:rPr>
        <w:t xml:space="preserve"> </w:t>
      </w:r>
      <w:r>
        <w:t xml:space="preserve">need to continue the discussion </w:t>
      </w:r>
      <w:r>
        <w:rPr>
          <w:rFonts w:hint="eastAsia"/>
        </w:rPr>
        <w:t>a</w:t>
      </w:r>
      <w:r>
        <w:t>nd companies can share their technical views via the reflector.</w:t>
      </w:r>
    </w:p>
    <w:p w14:paraId="46E5C8BA"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 xml:space="preserve">Issue-2 SPS PDSCH </w:t>
      </w:r>
    </w:p>
    <w:p w14:paraId="78526381"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0BC04733" w14:textId="77777777" w:rsidR="00AA4AC8" w:rsidRDefault="0082369C">
      <w:pPr>
        <w:pStyle w:val="afc"/>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The discussion on SPS mainly focus on following aspects with the corresponding views summarized according to the inputs in this meeting</w:t>
      </w:r>
      <w:r>
        <w:rPr>
          <w:rFonts w:ascii="Times New Roman" w:eastAsiaTheme="minorEastAsia" w:hAnsi="Times New Roman" w:hint="eastAsia"/>
          <w:sz w:val="20"/>
          <w:szCs w:val="20"/>
        </w:rPr>
        <w:t>:</w:t>
      </w:r>
    </w:p>
    <w:p w14:paraId="6A782267" w14:textId="77777777" w:rsidR="00AA4AC8" w:rsidRDefault="0082369C">
      <w:pPr>
        <w:pStyle w:val="afc"/>
        <w:numPr>
          <w:ilvl w:val="0"/>
          <w:numId w:val="20"/>
        </w:numPr>
        <w:spacing w:beforeLines="50" w:before="120"/>
        <w:ind w:left="714" w:hanging="357"/>
        <w:jc w:val="both"/>
        <w:rPr>
          <w:rFonts w:ascii="Times New Roman" w:hAnsi="Times New Roman"/>
          <w:bCs/>
          <w:kern w:val="2"/>
          <w:sz w:val="20"/>
          <w:szCs w:val="20"/>
        </w:rPr>
      </w:pPr>
      <w:r>
        <w:rPr>
          <w:rFonts w:ascii="Times New Roman" w:eastAsiaTheme="minorEastAsia" w:hAnsi="Times New Roman"/>
          <w:sz w:val="20"/>
          <w:szCs w:val="20"/>
        </w:rPr>
        <w:t xml:space="preserve">For SPS PDSCH </w:t>
      </w:r>
      <w:r>
        <w:rPr>
          <w:rFonts w:ascii="Times New Roman" w:hAnsi="Times New Roman"/>
          <w:bCs/>
          <w:kern w:val="2"/>
          <w:sz w:val="20"/>
          <w:szCs w:val="20"/>
        </w:rPr>
        <w:t>transmission</w:t>
      </w:r>
      <w:r>
        <w:rPr>
          <w:rFonts w:ascii="Times New Roman" w:eastAsiaTheme="minorEastAsia" w:hAnsi="Times New Roman"/>
          <w:sz w:val="20"/>
          <w:szCs w:val="20"/>
        </w:rPr>
        <w:t>:</w:t>
      </w:r>
    </w:p>
    <w:p w14:paraId="1DCCB012" w14:textId="77777777" w:rsidR="00AA4AC8" w:rsidRDefault="0082369C">
      <w:pPr>
        <w:pStyle w:val="afc"/>
        <w:numPr>
          <w:ilvl w:val="1"/>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Option-1: The feedback for the HARQ process associated to SPS PDSCH can be disabled by RRC configuration per HARQ process.</w:t>
      </w:r>
    </w:p>
    <w:p w14:paraId="508B7688" w14:textId="77777777" w:rsidR="00AA4AC8" w:rsidRDefault="0082369C">
      <w:pPr>
        <w:pStyle w:val="afc"/>
        <w:numPr>
          <w:ilvl w:val="2"/>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Supported by [CMCC, Samsung, ZTE]</w:t>
      </w:r>
    </w:p>
    <w:p w14:paraId="114F3100" w14:textId="77777777" w:rsidR="00AA4AC8" w:rsidRDefault="0082369C">
      <w:pPr>
        <w:pStyle w:val="afc"/>
        <w:numPr>
          <w:ilvl w:val="1"/>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Option-2a: Enabling/disabling HARQ feedback per HARQ process can separately be configured between dynamic PDSCH and SPS PDSCH.</w:t>
      </w:r>
    </w:p>
    <w:p w14:paraId="26178E90" w14:textId="77777777" w:rsidR="00AA4AC8" w:rsidRDefault="0082369C">
      <w:pPr>
        <w:pStyle w:val="afc"/>
        <w:numPr>
          <w:ilvl w:val="2"/>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Supported by [DCM]</w:t>
      </w:r>
    </w:p>
    <w:p w14:paraId="70C501AD" w14:textId="77777777" w:rsidR="00AA4AC8" w:rsidRDefault="0082369C">
      <w:pPr>
        <w:pStyle w:val="afc"/>
        <w:numPr>
          <w:ilvl w:val="1"/>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Option-3: The feedback for the HARQ process associated to SPS PDSCH can be disabled by RRC configuration per SPS configuration.</w:t>
      </w:r>
    </w:p>
    <w:p w14:paraId="50DE421B" w14:textId="77777777" w:rsidR="00AA4AC8" w:rsidRDefault="0082369C">
      <w:pPr>
        <w:pStyle w:val="afc"/>
        <w:numPr>
          <w:ilvl w:val="2"/>
          <w:numId w:val="20"/>
        </w:numPr>
        <w:spacing w:beforeLines="50" w:before="120"/>
        <w:jc w:val="both"/>
        <w:rPr>
          <w:rFonts w:ascii="Times New Roman" w:eastAsiaTheme="minorEastAsia" w:hAnsi="Times New Roman"/>
          <w:bCs/>
          <w:kern w:val="2"/>
          <w:sz w:val="20"/>
          <w:szCs w:val="20"/>
        </w:rPr>
      </w:pPr>
      <w:r>
        <w:rPr>
          <w:rFonts w:ascii="Times New Roman" w:eastAsiaTheme="minorEastAsia" w:hAnsi="Times New Roman"/>
          <w:bCs/>
          <w:kern w:val="2"/>
          <w:sz w:val="20"/>
          <w:szCs w:val="20"/>
        </w:rPr>
        <w:t>Supported by [Huawei, NEC, OPPO, CATT, CMCC, CAICT, Panasonic, Apple]</w:t>
      </w:r>
    </w:p>
    <w:p w14:paraId="799AF42D" w14:textId="77777777" w:rsidR="00AA4AC8" w:rsidRDefault="0082369C">
      <w:pPr>
        <w:spacing w:beforeLines="50" w:before="120"/>
        <w:ind w:left="1440"/>
        <w:jc w:val="both"/>
        <w:rPr>
          <w:rFonts w:eastAsiaTheme="minorEastAsia"/>
          <w:bCs/>
          <w:kern w:val="2"/>
        </w:rPr>
      </w:pPr>
      <w:r>
        <w:rPr>
          <w:rFonts w:eastAsiaTheme="minorEastAsia" w:hint="eastAsia"/>
          <w:bCs/>
          <w:kern w:val="2"/>
        </w:rPr>
        <w:lastRenderedPageBreak/>
        <w:t>R</w:t>
      </w:r>
      <w:r>
        <w:rPr>
          <w:rFonts w:eastAsiaTheme="minorEastAsia"/>
          <w:bCs/>
          <w:kern w:val="2"/>
        </w:rPr>
        <w:t xml:space="preserve">egarding this option, as mentioned by proponent, </w:t>
      </w:r>
      <w:r>
        <w:t xml:space="preserve">it seems more reasonable that all </w:t>
      </w:r>
      <w:r>
        <w:rPr>
          <w:rFonts w:ascii="Times" w:eastAsia="Batang" w:hAnsi="Times"/>
        </w:rPr>
        <w:t xml:space="preserve">the SPS PDSCHs are configured to correspond to enabled HARQ processes, or </w:t>
      </w:r>
      <w:r>
        <w:t>to</w:t>
      </w:r>
      <w:r>
        <w:rPr>
          <w:rFonts w:ascii="Times" w:eastAsia="Batang" w:hAnsi="Times"/>
        </w:rPr>
        <w:t xml:space="preserve"> correspond to disabled HARQ processes.</w:t>
      </w:r>
    </w:p>
    <w:p w14:paraId="4896518B" w14:textId="77777777" w:rsidR="00AA4AC8" w:rsidRDefault="0082369C">
      <w:pPr>
        <w:pStyle w:val="afc"/>
        <w:numPr>
          <w:ilvl w:val="0"/>
          <w:numId w:val="20"/>
        </w:numPr>
        <w:spacing w:beforeLines="50" w:before="120"/>
        <w:ind w:left="714" w:hanging="357"/>
        <w:jc w:val="both"/>
        <w:rPr>
          <w:rFonts w:ascii="Times New Roman" w:eastAsiaTheme="minorEastAsia" w:hAnsi="Times New Roman"/>
          <w:sz w:val="20"/>
          <w:szCs w:val="20"/>
        </w:rPr>
      </w:pPr>
      <w:r>
        <w:rPr>
          <w:rFonts w:ascii="Times New Roman" w:eastAsiaTheme="minorEastAsia" w:hAnsi="Times New Roman" w:hint="eastAsia"/>
          <w:sz w:val="20"/>
          <w:szCs w:val="20"/>
        </w:rPr>
        <w:t>For SP</w:t>
      </w:r>
      <w:r>
        <w:rPr>
          <w:rFonts w:ascii="Times New Roman" w:eastAsiaTheme="minorEastAsia" w:hAnsi="Times New Roman"/>
          <w:sz w:val="20"/>
          <w:szCs w:val="20"/>
        </w:rPr>
        <w:t>S PDSCH activation:</w:t>
      </w:r>
    </w:p>
    <w:p w14:paraId="49C30A40" w14:textId="77777777" w:rsidR="00AA4AC8" w:rsidRDefault="0082369C">
      <w:pPr>
        <w:pStyle w:val="afc"/>
        <w:numPr>
          <w:ilvl w:val="1"/>
          <w:numId w:val="20"/>
        </w:numPr>
        <w:jc w:val="both"/>
        <w:rPr>
          <w:rFonts w:ascii="Times New Roman" w:hAnsi="Times New Roman"/>
          <w:sz w:val="20"/>
          <w:szCs w:val="20"/>
        </w:rPr>
      </w:pPr>
      <w:r>
        <w:rPr>
          <w:rFonts w:ascii="Times New Roman" w:hAnsi="Times New Roman"/>
          <w:sz w:val="20"/>
          <w:szCs w:val="20"/>
        </w:rPr>
        <w:t xml:space="preserve">Option-1: </w:t>
      </w:r>
      <w:bookmarkStart w:id="7" w:name="_Toc87031493"/>
      <w:r>
        <w:rPr>
          <w:rFonts w:ascii="Times New Roman" w:hAnsi="Times New Roman"/>
          <w:sz w:val="20"/>
          <w:szCs w:val="20"/>
        </w:rPr>
        <w:t>For SPS activation, HARQ feedback is not sent if the network has disabled HARQ feedback for the used HARQ process.</w:t>
      </w:r>
      <w:bookmarkEnd w:id="7"/>
    </w:p>
    <w:p w14:paraId="5A6D2166" w14:textId="77777777" w:rsidR="00AA4AC8" w:rsidRDefault="0082369C">
      <w:pPr>
        <w:pStyle w:val="afc"/>
        <w:numPr>
          <w:ilvl w:val="2"/>
          <w:numId w:val="20"/>
        </w:numPr>
        <w:jc w:val="both"/>
        <w:rPr>
          <w:rFonts w:ascii="Times New Roman" w:hAnsi="Times New Roman"/>
          <w:sz w:val="20"/>
          <w:szCs w:val="20"/>
        </w:rPr>
      </w:pPr>
      <w:r>
        <w:rPr>
          <w:rFonts w:ascii="Times New Roman" w:hAnsi="Times New Roman"/>
          <w:sz w:val="20"/>
          <w:szCs w:val="20"/>
        </w:rPr>
        <w:t>[Ericsson, Samsung]</w:t>
      </w:r>
    </w:p>
    <w:p w14:paraId="27A73254" w14:textId="77777777" w:rsidR="00AA4AC8" w:rsidRDefault="0082369C">
      <w:pPr>
        <w:pStyle w:val="afc"/>
        <w:numPr>
          <w:ilvl w:val="1"/>
          <w:numId w:val="20"/>
        </w:numPr>
        <w:jc w:val="both"/>
        <w:rPr>
          <w:rFonts w:ascii="Times New Roman" w:hAnsi="Times New Roman"/>
          <w:bCs/>
          <w:kern w:val="2"/>
          <w:sz w:val="20"/>
          <w:szCs w:val="20"/>
        </w:rPr>
      </w:pPr>
      <w:r>
        <w:rPr>
          <w:rFonts w:ascii="Times New Roman" w:hAnsi="Times New Roman"/>
          <w:sz w:val="20"/>
          <w:szCs w:val="20"/>
        </w:rPr>
        <w:t>Option-2: For DCI indicating SPS PDSCH activation, DAI is increased for the DCI indicating SPS activation and ACK/NACK is reported by UE regardless of network configuration of enabled/disabled HARQ feedback for the first SPS PDSCH.</w:t>
      </w:r>
    </w:p>
    <w:p w14:paraId="5442860C" w14:textId="77777777" w:rsidR="00AA4AC8" w:rsidRDefault="0082369C">
      <w:pPr>
        <w:pStyle w:val="afc"/>
        <w:numPr>
          <w:ilvl w:val="2"/>
          <w:numId w:val="20"/>
        </w:numPr>
        <w:jc w:val="both"/>
        <w:rPr>
          <w:rFonts w:ascii="Times New Roman" w:hAnsi="Times New Roman"/>
          <w:bCs/>
          <w:kern w:val="2"/>
          <w:sz w:val="20"/>
          <w:szCs w:val="20"/>
        </w:rPr>
      </w:pPr>
      <w:r>
        <w:rPr>
          <w:rFonts w:ascii="Times New Roman" w:hAnsi="Times New Roman"/>
          <w:sz w:val="20"/>
          <w:szCs w:val="20"/>
        </w:rPr>
        <w:t>[Huawei, vivo, Spreadtrum, NEC, CATT, Sony, CAICT, ZTE, LG]</w:t>
      </w:r>
    </w:p>
    <w:p w14:paraId="171D69C8" w14:textId="77777777" w:rsidR="00AA4AC8" w:rsidRDefault="0082369C">
      <w:pPr>
        <w:pStyle w:val="afc"/>
        <w:snapToGrid w:val="0"/>
        <w:spacing w:beforeLines="50" w:before="120" w:afterLines="50" w:after="120"/>
        <w:ind w:left="360"/>
        <w:rPr>
          <w:rFonts w:ascii="Times New Roman" w:eastAsiaTheme="minorEastAsia" w:hAnsi="Times New Roman"/>
          <w:sz w:val="20"/>
          <w:szCs w:val="20"/>
        </w:rPr>
      </w:pPr>
      <w:r>
        <w:rPr>
          <w:rFonts w:ascii="Times New Roman" w:eastAsiaTheme="minorEastAsia" w:hAnsi="Times New Roman"/>
          <w:sz w:val="20"/>
          <w:szCs w:val="20"/>
        </w:rPr>
        <w:t>In additional, [Xiaomi] proposed to d</w:t>
      </w:r>
      <w:r>
        <w:rPr>
          <w:rFonts w:ascii="Times New Roman" w:hAnsi="Times New Roman"/>
          <w:sz w:val="20"/>
          <w:szCs w:val="20"/>
        </w:rPr>
        <w:t>efine a separate periodicity for feedback-enabled HARQ process in SPS PDSCH configuration. And [DCM] proposed to i</w:t>
      </w:r>
      <w:r>
        <w:rPr>
          <w:rFonts w:ascii="Times New Roman" w:eastAsiaTheme="minorEastAsia" w:hAnsi="Times New Roman"/>
          <w:sz w:val="20"/>
          <w:szCs w:val="20"/>
        </w:rPr>
        <w:t>ntroduce enhancement to avoid many subsequent SPS PDSCH receptions before confirming successful activation command with following options.</w:t>
      </w:r>
    </w:p>
    <w:p w14:paraId="5E6FD4F4" w14:textId="77777777" w:rsidR="00AA4AC8" w:rsidRDefault="0082369C">
      <w:pPr>
        <w:numPr>
          <w:ilvl w:val="1"/>
          <w:numId w:val="21"/>
        </w:numPr>
        <w:overflowPunct/>
        <w:autoSpaceDE/>
        <w:autoSpaceDN/>
        <w:adjustRightInd/>
        <w:spacing w:before="50" w:afterLines="50" w:after="120"/>
        <w:jc w:val="both"/>
        <w:textAlignment w:val="auto"/>
        <w:rPr>
          <w:rFonts w:eastAsiaTheme="minorEastAsia"/>
        </w:rPr>
      </w:pPr>
      <w:r>
        <w:rPr>
          <w:rFonts w:eastAsiaTheme="minorEastAsia"/>
        </w:rPr>
        <w:t>Option 1: SPS PDSCH receptions are started after feedback slot corresponding to activation DCI.</w:t>
      </w:r>
    </w:p>
    <w:p w14:paraId="0349706F" w14:textId="77777777" w:rsidR="00AA4AC8" w:rsidRDefault="0082369C">
      <w:pPr>
        <w:numPr>
          <w:ilvl w:val="1"/>
          <w:numId w:val="21"/>
        </w:numPr>
        <w:overflowPunct/>
        <w:autoSpaceDE/>
        <w:autoSpaceDN/>
        <w:adjustRightInd/>
        <w:spacing w:before="50" w:afterLines="50" w:after="120"/>
        <w:jc w:val="both"/>
        <w:textAlignment w:val="auto"/>
        <w:rPr>
          <w:rFonts w:eastAsiaTheme="minorEastAsia"/>
        </w:rPr>
      </w:pPr>
      <w:r>
        <w:rPr>
          <w:rFonts w:eastAsiaTheme="minorEastAsia"/>
        </w:rPr>
        <w:t>Option 2: 2nd SPS PDSCH is received after feedback slot corresponding to activation DCI.</w:t>
      </w:r>
    </w:p>
    <w:p w14:paraId="336AF2FE" w14:textId="77777777" w:rsidR="00AA4AC8" w:rsidRDefault="0082369C">
      <w:pPr>
        <w:overflowPunct/>
        <w:autoSpaceDE/>
        <w:autoSpaceDN/>
        <w:adjustRightInd/>
        <w:spacing w:before="50" w:afterLines="50" w:after="120"/>
        <w:ind w:left="720"/>
        <w:jc w:val="center"/>
        <w:textAlignment w:val="auto"/>
        <w:rPr>
          <w:rFonts w:eastAsiaTheme="minorEastAsia"/>
        </w:rPr>
      </w:pPr>
      <w:r>
        <w:rPr>
          <w:rFonts w:eastAsia="MS Gothic"/>
          <w:noProof/>
          <w:sz w:val="24"/>
          <w:lang w:val="en-US"/>
        </w:rPr>
        <w:drawing>
          <wp:inline distT="0" distB="0" distL="0" distR="0" wp14:anchorId="6D38F3AC" wp14:editId="3CE90F7C">
            <wp:extent cx="4870450" cy="1254760"/>
            <wp:effectExtent l="0" t="0" r="6350" b="254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95874" cy="1261480"/>
                    </a:xfrm>
                    <a:prstGeom prst="rect">
                      <a:avLst/>
                    </a:prstGeom>
                    <a:noFill/>
                    <a:ln>
                      <a:noFill/>
                    </a:ln>
                  </pic:spPr>
                </pic:pic>
              </a:graphicData>
            </a:graphic>
          </wp:inline>
        </w:drawing>
      </w:r>
    </w:p>
    <w:p w14:paraId="28F8DB9C" w14:textId="77777777" w:rsidR="00AA4AC8" w:rsidRDefault="0082369C">
      <w:pPr>
        <w:spacing w:beforeLines="50" w:before="120" w:after="120"/>
        <w:ind w:firstLine="288"/>
        <w:rPr>
          <w:rFonts w:eastAsiaTheme="minorEastAsia"/>
        </w:rPr>
      </w:pPr>
      <w:r>
        <w:t>Meanwhile, updates on the scheduling restriction is also proposed as below to update the previous agreement:</w:t>
      </w:r>
    </w:p>
    <w:p w14:paraId="6E0DB846" w14:textId="77777777" w:rsidR="00AA4AC8" w:rsidRDefault="0082369C">
      <w:pPr>
        <w:numPr>
          <w:ilvl w:val="1"/>
          <w:numId w:val="21"/>
        </w:numPr>
        <w:overflowPunct/>
        <w:autoSpaceDE/>
        <w:autoSpaceDN/>
        <w:adjustRightInd/>
        <w:spacing w:before="50" w:afterLines="50" w:after="120"/>
        <w:jc w:val="both"/>
        <w:textAlignment w:val="auto"/>
        <w:rPr>
          <w:rFonts w:eastAsiaTheme="minorEastAsia"/>
          <w:i/>
        </w:rPr>
      </w:pPr>
      <w:r>
        <w:rPr>
          <w:rFonts w:eastAsiaTheme="minorEastAsia"/>
          <w:i/>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i/>
          <w:color w:val="FF0000"/>
          <w:u w:val="single"/>
        </w:rPr>
        <w:t>or the PDSCH without corresponding PDCCH</w:t>
      </w:r>
      <w:r>
        <w:rPr>
          <w:rFonts w:eastAsiaTheme="minorEastAsia"/>
          <w:i/>
          <w:color w:val="FF0000"/>
        </w:rPr>
        <w:t xml:space="preserve"> </w:t>
      </w:r>
      <w:r>
        <w:rPr>
          <w:rFonts w:eastAsiaTheme="minorEastAsia"/>
          <w:i/>
        </w:rPr>
        <w:t>for the given HARQ process.</w:t>
      </w:r>
    </w:p>
    <w:p w14:paraId="1F635602" w14:textId="77777777" w:rsidR="00AA4AC8" w:rsidRDefault="0082369C">
      <w:pPr>
        <w:spacing w:beforeLines="50" w:before="120" w:after="120"/>
        <w:ind w:left="288"/>
      </w:pPr>
      <w:r>
        <w:t>Others, e.g., support explicit DCI signaling for skipping HARQ-ACK feedback by reusing PUCCH resource indication field in the DCI, support that SPS PDSCH with HARQ FB enabling with lowest configured sps-ConfigIndex should be firstly selected/prioritized when more than one SPS PDSCH configurations are in a slot, are proposed by proponent</w:t>
      </w:r>
    </w:p>
    <w:p w14:paraId="40E758E1" w14:textId="77777777" w:rsidR="00AA4AC8" w:rsidRDefault="0082369C">
      <w:pPr>
        <w:spacing w:beforeLines="50" w:before="120" w:after="120"/>
        <w:ind w:left="288"/>
      </w:pPr>
      <w:r>
        <w:t>Then, from moderator’s perspective, regarding the new mechanism for HARQ disabling for SPS, companies’ views are still diverse</w:t>
      </w:r>
      <w:r>
        <w:rPr>
          <w:rFonts w:hint="eastAsia"/>
        </w:rPr>
        <w:t>.</w:t>
      </w:r>
      <w:r>
        <w:t xml:space="preserve"> Since the clear benefits (e.g., </w:t>
      </w:r>
      <w:r>
        <w:rPr>
          <w:rFonts w:hint="eastAsia"/>
        </w:rPr>
        <w:t>reliability and flexibility of SPS operation</w:t>
      </w:r>
      <w:r>
        <w:t>) have been justified by enabling the HARQ-ACK feedback for SPS activation when the disabling of HARQ process will be used, e.g., SPS for GEO scenario. Let’s focus on the discussion for this aspect with following proposal:</w:t>
      </w:r>
    </w:p>
    <w:p w14:paraId="06497487" w14:textId="77777777" w:rsidR="00AA4AC8" w:rsidRDefault="0082369C">
      <w:pPr>
        <w:shd w:val="clear" w:color="auto" w:fill="FFFFFF"/>
        <w:overflowPunct/>
        <w:autoSpaceDE/>
        <w:autoSpaceDN/>
        <w:adjustRightInd/>
        <w:spacing w:after="0" w:line="300" w:lineRule="atLeast"/>
        <w:ind w:leftChars="100" w:left="200"/>
        <w:textAlignment w:val="auto"/>
        <w:rPr>
          <w:rFonts w:eastAsia="微软雅黑"/>
          <w:sz w:val="21"/>
          <w:szCs w:val="21"/>
        </w:rPr>
      </w:pPr>
      <w:r>
        <w:rPr>
          <w:rFonts w:eastAsia="微软雅黑"/>
          <w:b/>
          <w:bCs/>
          <w:shd w:val="clear" w:color="auto" w:fill="FFFF00"/>
        </w:rPr>
        <w:t>[Initial Proposal 2.1]: </w:t>
      </w:r>
    </w:p>
    <w:p w14:paraId="4B0808C7" w14:textId="77777777" w:rsidR="00AA4AC8" w:rsidRDefault="0082369C">
      <w:pPr>
        <w:shd w:val="clear" w:color="auto" w:fill="FFFFFF"/>
        <w:overflowPunct/>
        <w:autoSpaceDE/>
        <w:autoSpaceDN/>
        <w:adjustRightInd/>
        <w:spacing w:after="0" w:line="315" w:lineRule="atLeast"/>
        <w:ind w:leftChars="100" w:left="200"/>
        <w:textAlignment w:val="auto"/>
        <w:rPr>
          <w:rFonts w:ascii="Arial" w:hAnsi="Arial" w:cs="Arial"/>
          <w:sz w:val="21"/>
          <w:szCs w:val="21"/>
        </w:rPr>
      </w:pPr>
      <w:r>
        <w:rPr>
          <w:shd w:val="clear" w:color="auto" w:fill="FFFF00"/>
        </w:rPr>
        <w:t>For DCI indicating SPS PDSCH activation, DAI is increased for the DCI indicating SPS activation and ACK/NACK is reported by UE regardless of network configuration of enabled/disabled HARQ feedback for the first SPS PDSCH.</w:t>
      </w:r>
    </w:p>
    <w:p w14:paraId="0E459ACE" w14:textId="77777777" w:rsidR="00AA4AC8" w:rsidRDefault="0082369C">
      <w:pPr>
        <w:snapToGrid w:val="0"/>
        <w:spacing w:beforeLines="50" w:before="120" w:afterLines="50" w:after="120"/>
        <w:ind w:left="424"/>
        <w:rPr>
          <w:i/>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4ED1924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508284"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EABC5D6" w14:textId="77777777" w:rsidR="00AA4AC8" w:rsidRDefault="0082369C">
            <w:pPr>
              <w:jc w:val="center"/>
              <w:rPr>
                <w:b/>
                <w:sz w:val="28"/>
              </w:rPr>
            </w:pPr>
            <w:r>
              <w:rPr>
                <w:b/>
                <w:sz w:val="22"/>
              </w:rPr>
              <w:t>Comments and Views</w:t>
            </w:r>
          </w:p>
        </w:tc>
      </w:tr>
      <w:tr w:rsidR="00AA4AC8" w14:paraId="5F21573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E6CC5F"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293B3307" w14:textId="77777777" w:rsidR="00AA4AC8" w:rsidRDefault="0082369C">
            <w:pPr>
              <w:snapToGrid w:val="0"/>
            </w:pPr>
            <w:r>
              <w:t>OK</w:t>
            </w:r>
          </w:p>
        </w:tc>
      </w:tr>
      <w:tr w:rsidR="00AA4AC8" w14:paraId="3ED2327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D1B408E" w14:textId="77777777" w:rsidR="00AA4AC8" w:rsidRDefault="0082369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3988592F" w14:textId="77777777" w:rsidR="00AA4AC8" w:rsidRDefault="0082369C">
            <w:pPr>
              <w:snapToGrid w:val="0"/>
            </w:pPr>
            <w:r>
              <w:t xml:space="preserve">Support. </w:t>
            </w:r>
          </w:p>
        </w:tc>
      </w:tr>
      <w:tr w:rsidR="00AA4AC8" w14:paraId="3AE2291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E8047C"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0000D46E" w14:textId="77777777" w:rsidR="00AA4AC8" w:rsidRDefault="0082369C">
            <w:pPr>
              <w:snapToGrid w:val="0"/>
              <w:rPr>
                <w:rFonts w:eastAsiaTheme="minorEastAsia"/>
              </w:rPr>
            </w:pPr>
            <w:r>
              <w:rPr>
                <w:rFonts w:eastAsiaTheme="minorEastAsia" w:hint="eastAsia"/>
              </w:rPr>
              <w:t>O</w:t>
            </w:r>
            <w:r>
              <w:rPr>
                <w:rFonts w:eastAsiaTheme="minorEastAsia"/>
              </w:rPr>
              <w:t>K</w:t>
            </w:r>
          </w:p>
        </w:tc>
      </w:tr>
      <w:tr w:rsidR="00AA4AC8" w14:paraId="1505690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4F7336"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00398B0" w14:textId="77777777" w:rsidR="00AA4AC8" w:rsidRDefault="0082369C">
            <w:pPr>
              <w:snapToGrid w:val="0"/>
              <w:rPr>
                <w:rFonts w:eastAsiaTheme="minorEastAsia"/>
              </w:rPr>
            </w:pPr>
            <w:r>
              <w:rPr>
                <w:rFonts w:eastAsia="MS Mincho"/>
              </w:rPr>
              <w:t>Support</w:t>
            </w:r>
          </w:p>
        </w:tc>
      </w:tr>
      <w:tr w:rsidR="00AA4AC8" w14:paraId="195044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9A6019" w14:textId="77777777" w:rsidR="00AA4AC8" w:rsidRDefault="0082369C">
            <w:pPr>
              <w:jc w:val="center"/>
              <w:rPr>
                <w:rFonts w:eastAsiaTheme="minorEastAsia" w:cs="Arial"/>
              </w:rPr>
            </w:pPr>
            <w:r>
              <w:rPr>
                <w:rFonts w:eastAsiaTheme="minorEastAsia" w:cs="Arial"/>
              </w:rPr>
              <w:lastRenderedPageBreak/>
              <w:t>Apple</w:t>
            </w:r>
          </w:p>
        </w:tc>
        <w:tc>
          <w:tcPr>
            <w:tcW w:w="6840" w:type="dxa"/>
            <w:tcBorders>
              <w:top w:val="single" w:sz="4" w:space="0" w:color="auto"/>
              <w:left w:val="single" w:sz="4" w:space="0" w:color="auto"/>
              <w:bottom w:val="single" w:sz="4" w:space="0" w:color="auto"/>
              <w:right w:val="single" w:sz="4" w:space="0" w:color="auto"/>
            </w:tcBorders>
            <w:vAlign w:val="center"/>
          </w:tcPr>
          <w:p w14:paraId="3C6567EA" w14:textId="77777777" w:rsidR="00AA4AC8" w:rsidRDefault="0082369C">
            <w:pPr>
              <w:snapToGrid w:val="0"/>
              <w:rPr>
                <w:rFonts w:eastAsiaTheme="minorEastAsia"/>
              </w:rPr>
            </w:pPr>
            <w:r>
              <w:rPr>
                <w:rFonts w:eastAsiaTheme="minorEastAsia"/>
              </w:rPr>
              <w:t xml:space="preserve">We may also need to discuss the HARQ-ACK for SPS PDSCH as well. </w:t>
            </w:r>
          </w:p>
        </w:tc>
      </w:tr>
      <w:tr w:rsidR="00AA4AC8" w14:paraId="15B4029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6AD4FE"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1879DA2F" w14:textId="77777777" w:rsidR="00AA4AC8" w:rsidRDefault="0082369C">
            <w:pPr>
              <w:snapToGrid w:val="0"/>
              <w:rPr>
                <w:rFonts w:eastAsiaTheme="minorEastAsia"/>
              </w:rPr>
            </w:pPr>
            <w:r>
              <w:rPr>
                <w:rFonts w:eastAsiaTheme="minorEastAsia" w:hint="eastAsia"/>
              </w:rPr>
              <w:t>A</w:t>
            </w:r>
            <w:r>
              <w:rPr>
                <w:rFonts w:eastAsiaTheme="minorEastAsia"/>
              </w:rPr>
              <w:t>gree.</w:t>
            </w:r>
          </w:p>
        </w:tc>
      </w:tr>
      <w:tr w:rsidR="00AA4AC8" w14:paraId="51AD973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D4E3BA"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331343B" w14:textId="77777777" w:rsidR="00AA4AC8" w:rsidRDefault="0082369C">
            <w:pPr>
              <w:snapToGrid w:val="0"/>
              <w:rPr>
                <w:rFonts w:eastAsiaTheme="minorEastAsia"/>
              </w:rPr>
            </w:pPr>
            <w:r>
              <w:rPr>
                <w:rFonts w:eastAsiaTheme="minorEastAsia" w:hint="eastAsia"/>
              </w:rPr>
              <w:t>A</w:t>
            </w:r>
            <w:r>
              <w:rPr>
                <w:rFonts w:eastAsiaTheme="minorEastAsia"/>
              </w:rPr>
              <w:t>gree.</w:t>
            </w:r>
          </w:p>
        </w:tc>
      </w:tr>
      <w:tr w:rsidR="00AA4AC8" w14:paraId="2E30367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8F2CBE"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EB42FFF" w14:textId="77777777" w:rsidR="00AA4AC8" w:rsidRDefault="0082369C">
            <w:pPr>
              <w:snapToGrid w:val="0"/>
              <w:rPr>
                <w:rFonts w:eastAsiaTheme="minorEastAsia"/>
              </w:rPr>
            </w:pPr>
            <w:r>
              <w:rPr>
                <w:rFonts w:eastAsiaTheme="minorEastAsia"/>
              </w:rPr>
              <w:t>Do not support</w:t>
            </w:r>
          </w:p>
          <w:p w14:paraId="31A1FB3E" w14:textId="77777777" w:rsidR="00AA4AC8" w:rsidRDefault="0082369C">
            <w:pPr>
              <w:snapToGrid w:val="0"/>
              <w:rPr>
                <w:rFonts w:eastAsiaTheme="minorEastAsia"/>
              </w:rPr>
            </w:pPr>
            <w:r>
              <w:rPr>
                <w:rFonts w:eastAsiaTheme="minorEastAsia"/>
              </w:rPr>
              <w:t xml:space="preserve">The mechanism for disabling HARQ-ACK per HARQ process is sufficient – there is no need to add another layer of complexity and exceptions. </w:t>
            </w:r>
          </w:p>
        </w:tc>
      </w:tr>
      <w:tr w:rsidR="00AA4AC8" w14:paraId="16D5962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A55A61" w14:textId="77777777" w:rsidR="00AA4AC8" w:rsidRDefault="0082369C">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0489001A" w14:textId="77777777" w:rsidR="00AA4AC8" w:rsidRDefault="0082369C">
            <w:pPr>
              <w:snapToGrid w:val="0"/>
              <w:rPr>
                <w:rFonts w:eastAsiaTheme="minorEastAsia"/>
              </w:rPr>
            </w:pPr>
            <w:r>
              <w:rPr>
                <w:rFonts w:eastAsiaTheme="minorEastAsia"/>
              </w:rPr>
              <w:t>Support</w:t>
            </w:r>
          </w:p>
        </w:tc>
      </w:tr>
      <w:tr w:rsidR="00AA4AC8" w14:paraId="484E00B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EE0C32"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9568C38" w14:textId="77777777" w:rsidR="00AA4AC8" w:rsidRDefault="0082369C">
            <w:pPr>
              <w:snapToGrid w:val="0"/>
              <w:rPr>
                <w:rFonts w:eastAsiaTheme="minorEastAsia"/>
              </w:rPr>
            </w:pPr>
            <w:r>
              <w:rPr>
                <w:rFonts w:eastAsiaTheme="minorEastAsia"/>
              </w:rPr>
              <w:t>Support</w:t>
            </w:r>
          </w:p>
        </w:tc>
      </w:tr>
      <w:tr w:rsidR="00AA4AC8" w14:paraId="2B8AF1A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7DFAB7" w14:textId="77777777" w:rsidR="00AA4AC8" w:rsidRDefault="0082369C">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43082BF3" w14:textId="77777777" w:rsidR="00AA4AC8" w:rsidRDefault="0082369C">
            <w:pPr>
              <w:snapToGrid w:val="0"/>
              <w:rPr>
                <w:rFonts w:eastAsiaTheme="minorEastAsia"/>
              </w:rPr>
            </w:pPr>
            <w:r>
              <w:rPr>
                <w:rFonts w:eastAsiaTheme="minorEastAsia"/>
              </w:rPr>
              <w:t>Support</w:t>
            </w:r>
          </w:p>
        </w:tc>
      </w:tr>
      <w:tr w:rsidR="00AA4AC8" w14:paraId="4AE1E28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656E7C"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A4C4438" w14:textId="77777777" w:rsidR="00AA4AC8" w:rsidRDefault="0082369C">
            <w:pPr>
              <w:snapToGrid w:val="0"/>
              <w:rPr>
                <w:rFonts w:eastAsiaTheme="minorEastAsia"/>
              </w:rPr>
            </w:pPr>
            <w:r>
              <w:rPr>
                <w:rFonts w:eastAsiaTheme="minorEastAsia"/>
              </w:rPr>
              <w:t>Support the FL proposal.</w:t>
            </w:r>
          </w:p>
        </w:tc>
      </w:tr>
      <w:tr w:rsidR="00AA4AC8" w14:paraId="713B342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BC01C6" w14:textId="77777777" w:rsidR="00AA4AC8" w:rsidRDefault="0082369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59CF3A2" w14:textId="77777777" w:rsidR="00AA4AC8" w:rsidRDefault="0082369C">
            <w:pPr>
              <w:snapToGrid w:val="0"/>
              <w:rPr>
                <w:rFonts w:eastAsiaTheme="minorEastAsia"/>
              </w:rPr>
            </w:pPr>
            <w:r>
              <w:rPr>
                <w:rFonts w:eastAsia="MS Mincho" w:hint="eastAsia"/>
                <w:lang w:eastAsia="ja-JP"/>
              </w:rPr>
              <w:t>S</w:t>
            </w:r>
            <w:r>
              <w:rPr>
                <w:rFonts w:eastAsia="MS Mincho"/>
                <w:lang w:eastAsia="ja-JP"/>
              </w:rPr>
              <w:t>upport the proposal.</w:t>
            </w:r>
          </w:p>
        </w:tc>
      </w:tr>
      <w:tr w:rsidR="00AA4AC8" w14:paraId="5B29BE4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4C1BF4"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0DD90F39" w14:textId="77777777" w:rsidR="00AA4AC8" w:rsidRDefault="0082369C">
            <w:pPr>
              <w:snapToGrid w:val="0"/>
              <w:rPr>
                <w:rFonts w:eastAsiaTheme="minorEastAsia"/>
              </w:rPr>
            </w:pPr>
            <w:r>
              <w:rPr>
                <w:rFonts w:eastAsiaTheme="minorEastAsia"/>
              </w:rPr>
              <w:t>Support</w:t>
            </w:r>
          </w:p>
        </w:tc>
      </w:tr>
      <w:tr w:rsidR="00AA4AC8" w14:paraId="2F523D0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76331D"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093C0A5"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1775E0D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FB18A6" w14:textId="77777777" w:rsidR="00AA4AC8" w:rsidRDefault="0082369C">
            <w:pPr>
              <w:jc w:val="center"/>
              <w:rPr>
                <w:rFonts w:eastAsia="MS Mincho" w:cs="Arial"/>
                <w:lang w:eastAsia="ja-JP"/>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3BED3E25" w14:textId="77777777" w:rsidR="00AA4AC8" w:rsidRDefault="0082369C">
            <w:pPr>
              <w:snapToGrid w:val="0"/>
              <w:rPr>
                <w:rFonts w:eastAsia="MS Mincho"/>
                <w:lang w:eastAsia="ja-JP"/>
              </w:rPr>
            </w:pPr>
            <w:r>
              <w:rPr>
                <w:rFonts w:eastAsiaTheme="minorEastAsia"/>
              </w:rPr>
              <w:t>Support</w:t>
            </w:r>
          </w:p>
        </w:tc>
      </w:tr>
      <w:tr w:rsidR="00AA4AC8" w14:paraId="5548D11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407845"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452BDD0"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52C3297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8A5B36" w14:textId="77777777" w:rsidR="00AA4AC8" w:rsidRDefault="0082369C">
            <w:pPr>
              <w:jc w:val="center"/>
              <w:rPr>
                <w:rFonts w:eastAsiaTheme="minorEastAsia"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7DA0A20" w14:textId="77777777" w:rsidR="00AA4AC8" w:rsidRDefault="0082369C">
            <w:pPr>
              <w:snapToGrid w:val="0"/>
              <w:rPr>
                <w:rFonts w:eastAsiaTheme="minorEastAsia"/>
              </w:rPr>
            </w:pPr>
            <w:r>
              <w:t>We do not see the need for an exception to the network configuration of feedback enabled/disabled HARQ processes for this case.</w:t>
            </w:r>
          </w:p>
        </w:tc>
      </w:tr>
    </w:tbl>
    <w:p w14:paraId="241BA5A2"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Updated based on the email discussion (Round-2)</w:t>
      </w:r>
    </w:p>
    <w:p w14:paraId="53AE100B" w14:textId="77777777" w:rsidR="00AA4AC8" w:rsidRDefault="0082369C">
      <w:pPr>
        <w:spacing w:beforeLines="50" w:before="120" w:after="120"/>
        <w:ind w:left="288"/>
      </w:pPr>
      <w:r>
        <w:t xml:space="preserve">For this topic, it seems that there is clear majority’s support on the [Initial Proposal 2.1]. Regarding the concerns from [Ericsson, Samsung] on the needs of this solution, from moderator’s perspective, gains are identified by companies as summarized in section 2.1, which is also aligned with the discussion in previous meeting. During </w:t>
      </w:r>
      <w:r>
        <w:rPr>
          <w:rFonts w:hint="eastAsia"/>
        </w:rPr>
        <w:t>t</w:t>
      </w:r>
      <w:r>
        <w:t xml:space="preserve">he email discussion, another alternative on the HARQ-ACK report of SPS activation with configurability is proposed by [Ericsson], from moderator’s perspective, </w:t>
      </w:r>
      <w:r>
        <w:rPr>
          <w:b/>
        </w:rPr>
        <w:t>it’s can be one way for compromise to improve the SPS transmission if feedback-disabled HARQ process is used for the first SPS PDSCH. For other cases, e.g., legacy Rel-16 or feedback-enabled HARQ is used for the first SPS PDSCH, the normal feedback will be followed</w:t>
      </w:r>
      <w:r>
        <w:t xml:space="preserve">. </w:t>
      </w:r>
    </w:p>
    <w:p w14:paraId="57AA47D1" w14:textId="77777777" w:rsidR="00AA4AC8" w:rsidRDefault="0082369C">
      <w:pPr>
        <w:spacing w:beforeLines="50" w:before="120" w:after="120"/>
        <w:ind w:left="288"/>
      </w:pPr>
      <w:r>
        <w:t>Then, the updated version is proposed:</w:t>
      </w:r>
    </w:p>
    <w:p w14:paraId="3A920441" w14:textId="77777777" w:rsidR="00AA4AC8" w:rsidRDefault="0082369C">
      <w:pPr>
        <w:shd w:val="clear" w:color="auto" w:fill="FFFFFF"/>
        <w:overflowPunct/>
        <w:autoSpaceDE/>
        <w:snapToGrid w:val="0"/>
        <w:spacing w:beforeLines="50" w:before="120" w:afterLines="50" w:after="120"/>
        <w:rPr>
          <w:rFonts w:eastAsia="微软雅黑"/>
          <w:sz w:val="21"/>
        </w:rPr>
      </w:pPr>
      <w:r>
        <w:rPr>
          <w:rFonts w:eastAsia="微软雅黑"/>
          <w:b/>
          <w:bCs/>
          <w:sz w:val="21"/>
          <w:shd w:val="clear" w:color="auto" w:fill="FFFF00"/>
        </w:rPr>
        <w:t>[Initial Proposal 2.2]</w:t>
      </w:r>
    </w:p>
    <w:p w14:paraId="0EB9F79A" w14:textId="77777777" w:rsidR="00AA4AC8" w:rsidRDefault="0082369C">
      <w:pPr>
        <w:shd w:val="clear" w:color="auto" w:fill="FFFFFF"/>
        <w:overflowPunct/>
        <w:autoSpaceDE/>
        <w:snapToGrid w:val="0"/>
        <w:spacing w:after="0"/>
        <w:rPr>
          <w:rFonts w:eastAsiaTheme="minorEastAsia"/>
          <w:sz w:val="21"/>
          <w:shd w:val="clear" w:color="auto" w:fill="FFFF00"/>
        </w:rPr>
      </w:pPr>
      <w:r>
        <w:rPr>
          <w:color w:val="FF0000"/>
          <w:sz w:val="21"/>
          <w:shd w:val="clear" w:color="auto" w:fill="FFFF00"/>
        </w:rPr>
        <w:t xml:space="preserve">In the case that the feedback-disabled HARQ process is used for the </w:t>
      </w:r>
      <w:r>
        <w:rPr>
          <w:rFonts w:eastAsia="宋体"/>
          <w:color w:val="FF0000"/>
          <w:sz w:val="21"/>
          <w:highlight w:val="yellow"/>
        </w:rPr>
        <w:t>first SPS P</w:t>
      </w:r>
      <w:r>
        <w:rPr>
          <w:color w:val="FF0000"/>
          <w:sz w:val="21"/>
          <w:shd w:val="clear" w:color="auto" w:fill="FFFF00"/>
        </w:rPr>
        <w:t>DSCH</w:t>
      </w:r>
      <w:r>
        <w:rPr>
          <w:sz w:val="21"/>
          <w:shd w:val="clear" w:color="auto" w:fill="FFFF00"/>
        </w:rPr>
        <w:t xml:space="preserve">, if HARQ feedback for SPS activation </w:t>
      </w:r>
      <w:r>
        <w:rPr>
          <w:color w:val="FF0000"/>
          <w:sz w:val="21"/>
          <w:shd w:val="clear" w:color="auto" w:fill="FFFF00"/>
        </w:rPr>
        <w:t>is configured by the network</w:t>
      </w:r>
      <w:r>
        <w:rPr>
          <w:sz w:val="21"/>
          <w:shd w:val="clear" w:color="auto" w:fill="FFFF00"/>
        </w:rPr>
        <w:t>:</w:t>
      </w:r>
    </w:p>
    <w:p w14:paraId="0F5C7516" w14:textId="77777777" w:rsidR="00AA4AC8" w:rsidRDefault="0082369C">
      <w:pPr>
        <w:pStyle w:val="afc"/>
        <w:numPr>
          <w:ilvl w:val="0"/>
          <w:numId w:val="20"/>
        </w:numPr>
        <w:shd w:val="clear" w:color="auto" w:fill="FFFFFF"/>
        <w:snapToGrid w:val="0"/>
        <w:rPr>
          <w:rFonts w:ascii="Times New Roman" w:hAnsi="Times New Roman"/>
          <w:sz w:val="21"/>
          <w:szCs w:val="20"/>
          <w:highlight w:val="yellow"/>
          <w:shd w:val="clear" w:color="auto" w:fill="FFFF00"/>
        </w:rPr>
      </w:pPr>
      <w:r>
        <w:rPr>
          <w:rFonts w:ascii="Times New Roman" w:hAnsi="Times New Roman"/>
          <w:sz w:val="21"/>
          <w:szCs w:val="20"/>
          <w:shd w:val="clear" w:color="auto" w:fill="FFFF00"/>
        </w:rPr>
        <w:t xml:space="preserve">For DCI indicating SPS PDSCH activation, </w:t>
      </w:r>
      <w:r>
        <w:rPr>
          <w:rFonts w:ascii="Times New Roman" w:hAnsi="Times New Roman"/>
          <w:sz w:val="21"/>
          <w:szCs w:val="20"/>
          <w:highlight w:val="yellow"/>
          <w:shd w:val="clear" w:color="auto" w:fill="FFFF00"/>
        </w:rPr>
        <w:t xml:space="preserve">DAI is increased for the DCI indicating SPS activation and ACK/NACK is reported by UE </w:t>
      </w:r>
    </w:p>
    <w:p w14:paraId="690491ED" w14:textId="77777777" w:rsidR="00AA4AC8" w:rsidRDefault="0082369C">
      <w:pPr>
        <w:pStyle w:val="afc"/>
        <w:numPr>
          <w:ilvl w:val="0"/>
          <w:numId w:val="20"/>
        </w:numPr>
        <w:shd w:val="clear" w:color="auto" w:fill="FFFFFF"/>
        <w:snapToGrid w:val="0"/>
        <w:rPr>
          <w:rFonts w:ascii="Times New Roman" w:eastAsia="宋体" w:hAnsi="Times New Roman"/>
          <w:color w:val="000000"/>
          <w:sz w:val="21"/>
          <w:szCs w:val="20"/>
        </w:rPr>
      </w:pPr>
      <w:r>
        <w:rPr>
          <w:rFonts w:ascii="Times New Roman" w:eastAsia="宋体" w:hAnsi="Times New Roman"/>
          <w:color w:val="FF0000"/>
          <w:sz w:val="21"/>
          <w:szCs w:val="20"/>
          <w:highlight w:val="yellow"/>
        </w:rPr>
        <w:t>Otherwise</w:t>
      </w:r>
      <w:r>
        <w:rPr>
          <w:rFonts w:ascii="Times New Roman" w:eastAsia="宋体" w:hAnsi="Times New Roman"/>
          <w:color w:val="000000"/>
          <w:sz w:val="21"/>
          <w:szCs w:val="20"/>
          <w:highlight w:val="yellow"/>
        </w:rPr>
        <w:t>, UE follows the feedback-enabled/disabled configuration of the HARQ process of the first SPS PDSCH.</w:t>
      </w:r>
    </w:p>
    <w:p w14:paraId="6F5F0F21" w14:textId="77777777" w:rsidR="00AA4AC8" w:rsidRDefault="0082369C">
      <w:pPr>
        <w:snapToGrid w:val="0"/>
        <w:spacing w:beforeLines="50" w:before="120" w:afterLines="50" w:after="120"/>
        <w:ind w:left="424"/>
        <w:rPr>
          <w:i/>
          <w:highlight w:val="yellow"/>
        </w:rPr>
      </w:pPr>
      <w:r>
        <w:rPr>
          <w:iCs/>
        </w:rPr>
        <w:t>Please provide your views below</w:t>
      </w:r>
      <w:r>
        <w:rPr>
          <w:rFonts w:ascii="宋体" w:eastAsia="宋体" w:hAnsi="宋体" w:cs="宋体"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401B3D6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CD4639E"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AFE7D56" w14:textId="77777777" w:rsidR="00AA4AC8" w:rsidRDefault="0082369C">
            <w:pPr>
              <w:jc w:val="center"/>
              <w:rPr>
                <w:b/>
                <w:sz w:val="28"/>
              </w:rPr>
            </w:pPr>
            <w:r>
              <w:rPr>
                <w:b/>
                <w:sz w:val="22"/>
              </w:rPr>
              <w:t>Comments and Views</w:t>
            </w:r>
          </w:p>
        </w:tc>
      </w:tr>
      <w:tr w:rsidR="00AA4AC8" w14:paraId="0A06A50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0EBD3A"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07E581B" w14:textId="77777777" w:rsidR="00AA4AC8" w:rsidRDefault="0082369C">
            <w:pPr>
              <w:snapToGrid w:val="0"/>
            </w:pPr>
            <w:r>
              <w:t xml:space="preserve">We are not sure if the configurability of HARQ feedback for SPS activation is a good way-forward.  </w:t>
            </w:r>
          </w:p>
        </w:tc>
      </w:tr>
      <w:tr w:rsidR="00AA4AC8" w14:paraId="20B8C67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BF4DCC0" w14:textId="77777777" w:rsidR="00AA4AC8" w:rsidRDefault="0082369C">
            <w:pPr>
              <w:jc w:val="center"/>
              <w:rPr>
                <w:rFonts w:cs="Arial"/>
              </w:rPr>
            </w:pPr>
            <w:r>
              <w:rPr>
                <w:rFonts w:cs="Arial"/>
              </w:rPr>
              <w:lastRenderedPageBreak/>
              <w:t>Xiaomi</w:t>
            </w:r>
          </w:p>
        </w:tc>
        <w:tc>
          <w:tcPr>
            <w:tcW w:w="6840" w:type="dxa"/>
            <w:tcBorders>
              <w:top w:val="single" w:sz="4" w:space="0" w:color="auto"/>
              <w:left w:val="single" w:sz="4" w:space="0" w:color="auto"/>
              <w:bottom w:val="single" w:sz="4" w:space="0" w:color="auto"/>
              <w:right w:val="single" w:sz="4" w:space="0" w:color="auto"/>
            </w:tcBorders>
            <w:vAlign w:val="center"/>
          </w:tcPr>
          <w:p w14:paraId="3BC5785F" w14:textId="77777777" w:rsidR="00AA4AC8" w:rsidRDefault="0082369C">
            <w:pPr>
              <w:snapToGrid w:val="0"/>
            </w:pPr>
            <w:r>
              <w:t>Generally support.</w:t>
            </w:r>
          </w:p>
          <w:p w14:paraId="21A7A2BD" w14:textId="77777777" w:rsidR="00AA4AC8" w:rsidRDefault="0082369C">
            <w:pPr>
              <w:snapToGrid w:val="0"/>
            </w:pPr>
            <w:r>
              <w:t>For the first bullet, it is not clear whether the ACK/NACK reported by UE is for the 1</w:t>
            </w:r>
            <w:r>
              <w:rPr>
                <w:vertAlign w:val="superscript"/>
              </w:rPr>
              <w:t>st</w:t>
            </w:r>
            <w:r>
              <w:t xml:space="preserve"> SPS PDSCH or SPS activation. If UE reports for the 1</w:t>
            </w:r>
            <w:r>
              <w:rPr>
                <w:vertAlign w:val="superscript"/>
              </w:rPr>
              <w:t>st</w:t>
            </w:r>
            <w:r>
              <w:t xml:space="preserve"> SPS PDSCH, the scheduling restriction of HARQ process with same HPN might be broken, and the codebook generation rule might be broken at least for type-2 HARQ CB.</w:t>
            </w:r>
          </w:p>
          <w:p w14:paraId="371AF86A" w14:textId="77777777" w:rsidR="00AA4AC8" w:rsidRDefault="0082369C">
            <w:pPr>
              <w:snapToGrid w:val="0"/>
            </w:pPr>
            <w:r>
              <w:t xml:space="preserve">We suggest to add [ACK/NACK is reported by UE </w:t>
            </w:r>
            <w:r>
              <w:rPr>
                <w:color w:val="FF0000"/>
              </w:rPr>
              <w:t>for SPS activation</w:t>
            </w:r>
            <w:r>
              <w:t>] in the 1</w:t>
            </w:r>
            <w:r>
              <w:rPr>
                <w:vertAlign w:val="superscript"/>
              </w:rPr>
              <w:t>st</w:t>
            </w:r>
            <w:r>
              <w:t xml:space="preserve"> bullet to make it more clear. </w:t>
            </w:r>
          </w:p>
        </w:tc>
      </w:tr>
      <w:tr w:rsidR="00AA4AC8" w14:paraId="2EE3F3D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A363ED" w14:textId="77777777" w:rsidR="00AA4AC8" w:rsidRDefault="0082369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63D75FA" w14:textId="77777777" w:rsidR="00AA4AC8" w:rsidRDefault="0082369C">
            <w:pPr>
              <w:snapToGrid w:val="0"/>
            </w:pPr>
            <w:r>
              <w:t>Support. We are fine with either the configurability or no configurability.</w:t>
            </w:r>
          </w:p>
        </w:tc>
      </w:tr>
      <w:tr w:rsidR="00AA4AC8" w14:paraId="44ECA26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0DD72A" w14:textId="77777777" w:rsidR="00AA4AC8" w:rsidRDefault="0082369C">
            <w:pPr>
              <w:jc w:val="center"/>
              <w:rPr>
                <w:rFonts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0046D95" w14:textId="77777777" w:rsidR="00AA4AC8" w:rsidRDefault="0082369C">
            <w:pPr>
              <w:snapToGrid w:val="0"/>
              <w:rPr>
                <w:rFonts w:eastAsiaTheme="minorEastAsia"/>
              </w:rPr>
            </w:pPr>
            <w:r>
              <w:rPr>
                <w:rFonts w:eastAsiaTheme="minorEastAsia" w:hint="eastAsia"/>
              </w:rPr>
              <w:t>G</w:t>
            </w:r>
            <w:r>
              <w:rPr>
                <w:rFonts w:eastAsiaTheme="minorEastAsia"/>
              </w:rPr>
              <w:t xml:space="preserve">enerally support, except for the introduction of the configuration of </w:t>
            </w:r>
            <w:r>
              <w:t>HARQ feedback for SPS activation. The simplest way with minimum spec impact is to specify the enabled HARQ feedback for the first SPS PDSCH regardless of the feedback-enabled/disabled configuration of the HARQ process.</w:t>
            </w:r>
          </w:p>
        </w:tc>
      </w:tr>
      <w:tr w:rsidR="00AA4AC8" w14:paraId="0141C39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1F28E1" w14:textId="77777777" w:rsidR="00AA4AC8" w:rsidRDefault="0082369C">
            <w:pPr>
              <w:jc w:val="center"/>
              <w:rPr>
                <w:rFonts w:eastAsiaTheme="minorEastAsia" w:cs="Arial"/>
              </w:rPr>
            </w:pPr>
            <w:r>
              <w:rPr>
                <w:rFonts w:eastAsiaTheme="minorEastAsia"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577010CF" w14:textId="77777777" w:rsidR="00AA4AC8" w:rsidRDefault="0082369C">
            <w:pPr>
              <w:snapToGrid w:val="0"/>
              <w:rPr>
                <w:rFonts w:eastAsiaTheme="minorEastAsia"/>
              </w:rPr>
            </w:pPr>
            <w:r>
              <w:rPr>
                <w:rFonts w:eastAsiaTheme="minorEastAsia" w:hint="eastAsia"/>
              </w:rPr>
              <w:t>OK</w:t>
            </w:r>
            <w:r>
              <w:rPr>
                <w:rFonts w:eastAsiaTheme="minorEastAsia"/>
              </w:rPr>
              <w:t>.</w:t>
            </w:r>
          </w:p>
        </w:tc>
      </w:tr>
      <w:tr w:rsidR="00AA4AC8" w14:paraId="722159D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F880DE" w14:textId="77777777" w:rsidR="00AA4AC8" w:rsidRDefault="0082369C">
            <w:pPr>
              <w:jc w:val="center"/>
              <w:rPr>
                <w:rFonts w:eastAsiaTheme="minorEastAsia" w:cs="Arial"/>
              </w:rPr>
            </w:pPr>
            <w:r>
              <w:rPr>
                <w:rFonts w:eastAsiaTheme="minorEastAsia"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2274B3C5" w14:textId="77777777" w:rsidR="00AA4AC8" w:rsidRDefault="0082369C">
            <w:pPr>
              <w:snapToGrid w:val="0"/>
              <w:rPr>
                <w:rFonts w:eastAsiaTheme="minorEastAsia"/>
              </w:rPr>
            </w:pPr>
            <w:r>
              <w:rPr>
                <w:rFonts w:eastAsiaTheme="minorEastAsia"/>
              </w:rPr>
              <w:t xml:space="preserve">OK. </w:t>
            </w:r>
          </w:p>
        </w:tc>
      </w:tr>
      <w:tr w:rsidR="00AA4AC8" w14:paraId="467E994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7F8B2F"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2C0B3F0D" w14:textId="77777777" w:rsidR="00AA4AC8" w:rsidRDefault="0082369C">
            <w:pPr>
              <w:snapToGrid w:val="0"/>
              <w:rPr>
                <w:rFonts w:eastAsiaTheme="minorEastAsia"/>
              </w:rPr>
            </w:pPr>
            <w:r>
              <w:rPr>
                <w:rFonts w:eastAsia="MS Mincho"/>
              </w:rPr>
              <w:t xml:space="preserve">We share the view with Apple. </w:t>
            </w:r>
          </w:p>
        </w:tc>
      </w:tr>
      <w:tr w:rsidR="00AA4AC8" w14:paraId="2FCACDA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CC3F66"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13A8DB6A" w14:textId="77777777" w:rsidR="00AA4AC8" w:rsidRDefault="0082369C">
            <w:pPr>
              <w:snapToGrid w:val="0"/>
              <w:rPr>
                <w:rFonts w:eastAsiaTheme="minorEastAsia"/>
              </w:rPr>
            </w:pPr>
            <w:r>
              <w:rPr>
                <w:rFonts w:eastAsiaTheme="minorEastAsia" w:hint="eastAsia"/>
              </w:rPr>
              <w:t>S</w:t>
            </w:r>
            <w:r>
              <w:rPr>
                <w:rFonts w:eastAsiaTheme="minorEastAsia"/>
              </w:rPr>
              <w:t>upport the first bullet. Xiaomi’s modification is also fine.</w:t>
            </w:r>
          </w:p>
          <w:p w14:paraId="4FF61D31" w14:textId="77777777" w:rsidR="00AA4AC8" w:rsidRDefault="0082369C">
            <w:pPr>
              <w:snapToGrid w:val="0"/>
              <w:rPr>
                <w:rFonts w:eastAsiaTheme="minorEastAsia"/>
              </w:rPr>
            </w:pPr>
            <w:r>
              <w:rPr>
                <w:rFonts w:eastAsiaTheme="minorEastAsia" w:hint="eastAsia"/>
              </w:rPr>
              <w:t>F</w:t>
            </w:r>
            <w:r>
              <w:rPr>
                <w:rFonts w:eastAsiaTheme="minorEastAsia"/>
              </w:rPr>
              <w:t>or the second bullet, the otherwise part seems not necessary, since if the condition in the main sentence is not satisfied, the otherwise part may be a natural behaviour.</w:t>
            </w:r>
          </w:p>
        </w:tc>
      </w:tr>
      <w:tr w:rsidR="00AA4AC8" w14:paraId="50045A5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411668"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6053BDE" w14:textId="77777777" w:rsidR="00AA4AC8" w:rsidRDefault="0082369C">
            <w:pPr>
              <w:snapToGrid w:val="0"/>
              <w:rPr>
                <w:rFonts w:eastAsiaTheme="minorEastAsia"/>
              </w:rPr>
            </w:pPr>
            <w:r>
              <w:rPr>
                <w:rFonts w:eastAsiaTheme="minorEastAsia"/>
              </w:rPr>
              <w:t>Do not support.</w:t>
            </w:r>
          </w:p>
          <w:p w14:paraId="71D6944E" w14:textId="77777777" w:rsidR="00AA4AC8" w:rsidRDefault="0082369C">
            <w:pPr>
              <w:snapToGrid w:val="0"/>
              <w:rPr>
                <w:rFonts w:eastAsiaTheme="minorEastAsia"/>
              </w:rPr>
            </w:pPr>
            <w:r>
              <w:rPr>
                <w:rFonts w:eastAsiaTheme="minorEastAsia"/>
              </w:rPr>
              <w:t xml:space="preserve">The first bullet (and the proposal) is incorrect - the activation DCI is not considered in the Type-2 HARQ-ACK CB (HARQ-ACK is via the SPS PDSCH). A different proposal, for a UE to always report HARQ-ACK for the first SPS PDSCH after activation, is probably what is intended – FL may clarify. </w:t>
            </w:r>
          </w:p>
        </w:tc>
      </w:tr>
      <w:tr w:rsidR="00AA4AC8" w14:paraId="277A7FC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2099125" w14:textId="77777777" w:rsidR="00AA4AC8" w:rsidRDefault="0082369C">
            <w:pPr>
              <w:jc w:val="center"/>
              <w:rPr>
                <w:rFonts w:eastAsiaTheme="minorEastAsia" w:cs="Arial"/>
              </w:rPr>
            </w:pPr>
            <w:r>
              <w:rPr>
                <w:rFonts w:eastAsiaTheme="minorEastAsia" w:cs="Arial"/>
              </w:rPr>
              <w:t>ZTE</w:t>
            </w:r>
          </w:p>
        </w:tc>
        <w:tc>
          <w:tcPr>
            <w:tcW w:w="6840" w:type="dxa"/>
            <w:tcBorders>
              <w:top w:val="single" w:sz="4" w:space="0" w:color="auto"/>
              <w:left w:val="single" w:sz="4" w:space="0" w:color="auto"/>
              <w:bottom w:val="single" w:sz="4" w:space="0" w:color="auto"/>
              <w:right w:val="single" w:sz="4" w:space="0" w:color="auto"/>
            </w:tcBorders>
            <w:vAlign w:val="center"/>
          </w:tcPr>
          <w:p w14:paraId="5412095D" w14:textId="77777777" w:rsidR="00AA4AC8" w:rsidRDefault="0082369C">
            <w:pPr>
              <w:shd w:val="clear" w:color="auto" w:fill="FFFFFF"/>
              <w:overflowPunct/>
              <w:autoSpaceDE/>
              <w:snapToGrid w:val="0"/>
              <w:spacing w:after="0"/>
              <w:rPr>
                <w:rFonts w:eastAsiaTheme="minorEastAsia"/>
                <w:color w:val="FF0000"/>
                <w:sz w:val="21"/>
                <w:shd w:val="clear" w:color="auto" w:fill="FFFF00"/>
              </w:rPr>
            </w:pPr>
            <w:r>
              <w:rPr>
                <w:rFonts w:eastAsiaTheme="minorEastAsia" w:hint="eastAsia"/>
                <w:color w:val="FF0000"/>
                <w:sz w:val="21"/>
                <w:shd w:val="clear" w:color="auto" w:fill="FFFF00"/>
              </w:rPr>
              <w:t>W</w:t>
            </w:r>
            <w:r>
              <w:rPr>
                <w:rFonts w:eastAsiaTheme="minorEastAsia"/>
                <w:color w:val="FF0000"/>
                <w:sz w:val="21"/>
                <w:shd w:val="clear" w:color="auto" w:fill="FFFF00"/>
              </w:rPr>
              <w:t>e are supportive of this proposal and following updated version based on comments before is also acceptable.</w:t>
            </w:r>
          </w:p>
          <w:p w14:paraId="52FE1538" w14:textId="77777777" w:rsidR="00AA4AC8" w:rsidRDefault="0082369C">
            <w:pPr>
              <w:shd w:val="clear" w:color="auto" w:fill="FFFFFF"/>
              <w:overflowPunct/>
              <w:autoSpaceDE/>
              <w:snapToGrid w:val="0"/>
              <w:spacing w:beforeLines="50" w:before="120" w:afterLines="50" w:after="120"/>
              <w:rPr>
                <w:rFonts w:eastAsia="微软雅黑"/>
                <w:sz w:val="21"/>
              </w:rPr>
            </w:pPr>
            <w:r>
              <w:rPr>
                <w:rFonts w:eastAsia="微软雅黑"/>
                <w:b/>
                <w:bCs/>
                <w:sz w:val="21"/>
                <w:shd w:val="clear" w:color="auto" w:fill="FFFF00"/>
              </w:rPr>
              <w:t>[Initial Proposal 2.2-Rev1]</w:t>
            </w:r>
          </w:p>
          <w:p w14:paraId="7880D66A" w14:textId="77777777" w:rsidR="00AA4AC8" w:rsidRDefault="0082369C">
            <w:pPr>
              <w:shd w:val="clear" w:color="auto" w:fill="FFFFFF"/>
              <w:overflowPunct/>
              <w:autoSpaceDE/>
              <w:snapToGrid w:val="0"/>
              <w:spacing w:after="0"/>
              <w:rPr>
                <w:rFonts w:eastAsiaTheme="minorEastAsia"/>
                <w:sz w:val="21"/>
                <w:shd w:val="clear" w:color="auto" w:fill="FFFF00"/>
              </w:rPr>
            </w:pPr>
            <w:r>
              <w:rPr>
                <w:color w:val="FF0000"/>
                <w:sz w:val="21"/>
                <w:shd w:val="clear" w:color="auto" w:fill="FFFF00"/>
              </w:rPr>
              <w:t xml:space="preserve">In the case that the feedback-disabled HARQ process is used for the </w:t>
            </w:r>
            <w:r>
              <w:rPr>
                <w:rFonts w:eastAsia="宋体"/>
                <w:color w:val="FF0000"/>
                <w:sz w:val="21"/>
                <w:highlight w:val="yellow"/>
              </w:rPr>
              <w:t>first SPS P</w:t>
            </w:r>
            <w:r>
              <w:rPr>
                <w:color w:val="FF0000"/>
                <w:sz w:val="21"/>
                <w:shd w:val="clear" w:color="auto" w:fill="FFFF00"/>
              </w:rPr>
              <w:t>DSCH</w:t>
            </w:r>
            <w:r>
              <w:rPr>
                <w:sz w:val="21"/>
                <w:shd w:val="clear" w:color="auto" w:fill="FFFF00"/>
              </w:rPr>
              <w:t xml:space="preserve">, if HARQ feedback for SPS activation </w:t>
            </w:r>
            <w:r>
              <w:rPr>
                <w:color w:val="FF0000"/>
                <w:sz w:val="21"/>
                <w:shd w:val="clear" w:color="auto" w:fill="FFFF00"/>
              </w:rPr>
              <w:t>is configured by the network</w:t>
            </w:r>
            <w:r>
              <w:rPr>
                <w:sz w:val="21"/>
                <w:shd w:val="clear" w:color="auto" w:fill="FFFF00"/>
              </w:rPr>
              <w:t>:</w:t>
            </w:r>
          </w:p>
          <w:p w14:paraId="01AE8EE2" w14:textId="77777777" w:rsidR="00AA4AC8" w:rsidRDefault="0082369C">
            <w:pPr>
              <w:pStyle w:val="afc"/>
              <w:numPr>
                <w:ilvl w:val="0"/>
                <w:numId w:val="20"/>
              </w:numPr>
              <w:shd w:val="clear" w:color="auto" w:fill="FFFFFF"/>
              <w:snapToGrid w:val="0"/>
              <w:rPr>
                <w:rFonts w:ascii="Times New Roman" w:hAnsi="Times New Roman"/>
                <w:sz w:val="21"/>
                <w:szCs w:val="20"/>
                <w:highlight w:val="yellow"/>
                <w:shd w:val="clear" w:color="auto" w:fill="FFFF00"/>
              </w:rPr>
            </w:pPr>
            <w:r>
              <w:rPr>
                <w:rFonts w:ascii="Times New Roman" w:hAnsi="Times New Roman"/>
                <w:sz w:val="21"/>
                <w:szCs w:val="20"/>
                <w:shd w:val="clear" w:color="auto" w:fill="FFFF00"/>
              </w:rPr>
              <w:t>For D</w:t>
            </w:r>
            <w:r>
              <w:rPr>
                <w:rFonts w:ascii="Times New Roman" w:hAnsi="Times New Roman"/>
                <w:sz w:val="21"/>
                <w:szCs w:val="20"/>
                <w:highlight w:val="yellow"/>
                <w:shd w:val="clear" w:color="auto" w:fill="FFFF00"/>
              </w:rPr>
              <w:t xml:space="preserve">CI indicating SPS PDSCH activation, DAI is increased for the DCI indicating SPS activation and ACK/NACK is reported by UE </w:t>
            </w:r>
            <w:r>
              <w:rPr>
                <w:rFonts w:ascii="Times New Roman" w:hAnsi="Times New Roman"/>
                <w:color w:val="FF0000"/>
                <w:sz w:val="21"/>
                <w:szCs w:val="20"/>
                <w:highlight w:val="yellow"/>
                <w:shd w:val="clear" w:color="auto" w:fill="FFFF00"/>
              </w:rPr>
              <w:t xml:space="preserve">for SPS activation </w:t>
            </w:r>
          </w:p>
          <w:p w14:paraId="20AC16A5" w14:textId="77777777" w:rsidR="00AA4AC8" w:rsidRDefault="0082369C">
            <w:pPr>
              <w:pStyle w:val="afc"/>
              <w:numPr>
                <w:ilvl w:val="0"/>
                <w:numId w:val="20"/>
              </w:numPr>
              <w:shd w:val="clear" w:color="auto" w:fill="FFFFFF"/>
              <w:snapToGrid w:val="0"/>
              <w:rPr>
                <w:rFonts w:ascii="Times New Roman" w:eastAsia="宋体" w:hAnsi="Times New Roman"/>
                <w:strike/>
                <w:color w:val="000000"/>
                <w:sz w:val="21"/>
                <w:szCs w:val="20"/>
              </w:rPr>
            </w:pPr>
            <w:r>
              <w:rPr>
                <w:rFonts w:ascii="Times New Roman" w:eastAsia="宋体" w:hAnsi="Times New Roman"/>
                <w:strike/>
                <w:color w:val="FF0000"/>
                <w:sz w:val="21"/>
                <w:szCs w:val="20"/>
                <w:highlight w:val="yellow"/>
              </w:rPr>
              <w:t>Otherwise</w:t>
            </w:r>
            <w:r>
              <w:rPr>
                <w:rFonts w:ascii="Times New Roman" w:eastAsia="宋体" w:hAnsi="Times New Roman"/>
                <w:strike/>
                <w:color w:val="000000"/>
                <w:sz w:val="21"/>
                <w:szCs w:val="20"/>
                <w:highlight w:val="yellow"/>
              </w:rPr>
              <w:t>, UE follows the feedback-enabled/disabled configuration of the HARQ process of the first SPS PDSCH.</w:t>
            </w:r>
          </w:p>
          <w:p w14:paraId="04ED87AC" w14:textId="77777777" w:rsidR="00AA4AC8" w:rsidRDefault="00AA4AC8">
            <w:pPr>
              <w:snapToGrid w:val="0"/>
              <w:rPr>
                <w:rFonts w:eastAsiaTheme="minorEastAsia"/>
              </w:rPr>
            </w:pPr>
          </w:p>
        </w:tc>
      </w:tr>
      <w:tr w:rsidR="00AA4AC8" w14:paraId="0EA2666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1854BF7"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1C00592" w14:textId="77777777" w:rsidR="00AA4AC8" w:rsidRDefault="0082369C">
            <w:pPr>
              <w:shd w:val="clear" w:color="auto" w:fill="FFFFFF"/>
              <w:overflowPunct/>
              <w:autoSpaceDE/>
              <w:snapToGrid w:val="0"/>
              <w:spacing w:after="0"/>
              <w:rPr>
                <w:rFonts w:eastAsiaTheme="minorEastAsia"/>
                <w:color w:val="FF0000"/>
                <w:sz w:val="21"/>
                <w:shd w:val="clear" w:color="auto" w:fill="FFFF00"/>
              </w:rPr>
            </w:pPr>
            <w:r>
              <w:rPr>
                <w:rFonts w:eastAsiaTheme="minorEastAsia"/>
              </w:rPr>
              <w:t xml:space="preserve">OK with ZTE’s modification. </w:t>
            </w:r>
          </w:p>
        </w:tc>
      </w:tr>
      <w:tr w:rsidR="00AA4AC8" w14:paraId="0208199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3FC914"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3511AC34" w14:textId="77777777" w:rsidR="00AA4AC8" w:rsidRDefault="0082369C">
            <w:pPr>
              <w:shd w:val="clear" w:color="auto" w:fill="FFFFFF"/>
              <w:overflowPunct/>
              <w:autoSpaceDE/>
              <w:snapToGrid w:val="0"/>
              <w:spacing w:after="0"/>
              <w:rPr>
                <w:rFonts w:eastAsiaTheme="minorEastAsia"/>
              </w:rPr>
            </w:pPr>
            <w:r>
              <w:rPr>
                <w:rFonts w:eastAsiaTheme="minorEastAsia" w:hint="eastAsia"/>
              </w:rPr>
              <w:t>Ok, we are also fin</w:t>
            </w:r>
            <w:r>
              <w:rPr>
                <w:rFonts w:eastAsiaTheme="minorEastAsia"/>
              </w:rPr>
              <w:t>e</w:t>
            </w:r>
            <w:r>
              <w:rPr>
                <w:rFonts w:eastAsiaTheme="minorEastAsia" w:hint="eastAsia"/>
              </w:rPr>
              <w:t xml:space="preserve"> with ZTE</w:t>
            </w:r>
            <w:r>
              <w:rPr>
                <w:rFonts w:eastAsiaTheme="minorEastAsia"/>
              </w:rPr>
              <w:t>’s modification.</w:t>
            </w:r>
          </w:p>
        </w:tc>
      </w:tr>
      <w:tr w:rsidR="00AA4AC8" w14:paraId="551241F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CB63E5"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14C40317" w14:textId="77777777" w:rsidR="00AA4AC8" w:rsidRDefault="0082369C">
            <w:pPr>
              <w:shd w:val="clear" w:color="auto" w:fill="FFFFFF"/>
              <w:overflowPunct/>
              <w:autoSpaceDE/>
              <w:snapToGrid w:val="0"/>
              <w:spacing w:after="0"/>
              <w:rPr>
                <w:rFonts w:eastAsiaTheme="minorEastAsia"/>
                <w:bCs/>
                <w:kern w:val="2"/>
              </w:rPr>
            </w:pPr>
            <w:r>
              <w:rPr>
                <w:rFonts w:eastAsiaTheme="minorEastAsia"/>
                <w:bCs/>
                <w:kern w:val="2"/>
              </w:rPr>
              <w:t>Our preference is that the feedback for the HARQ process associated to SPS PDSCH can be disabled by RRC configuration per SPS configuration. A revised wording for the initial proposal 2.2:</w:t>
            </w:r>
          </w:p>
          <w:p w14:paraId="3EB74AFC" w14:textId="77777777" w:rsidR="00AA4AC8" w:rsidRDefault="00AA4AC8">
            <w:pPr>
              <w:shd w:val="clear" w:color="auto" w:fill="FFFFFF"/>
              <w:overflowPunct/>
              <w:autoSpaceDE/>
              <w:snapToGrid w:val="0"/>
              <w:spacing w:after="0"/>
              <w:rPr>
                <w:sz w:val="21"/>
                <w:shd w:val="clear" w:color="auto" w:fill="FFFF00"/>
              </w:rPr>
            </w:pPr>
          </w:p>
          <w:p w14:paraId="18C474A3" w14:textId="77777777" w:rsidR="00AA4AC8" w:rsidRDefault="0082369C">
            <w:pPr>
              <w:shd w:val="clear" w:color="auto" w:fill="FFFFFF"/>
              <w:overflowPunct/>
              <w:autoSpaceDE/>
              <w:snapToGrid w:val="0"/>
              <w:spacing w:after="0"/>
              <w:rPr>
                <w:rFonts w:eastAsiaTheme="minorEastAsia"/>
                <w:sz w:val="21"/>
                <w:shd w:val="clear" w:color="auto" w:fill="FFFF00"/>
              </w:rPr>
            </w:pPr>
            <w:r>
              <w:rPr>
                <w:strike/>
                <w:color w:val="FF0000"/>
                <w:sz w:val="21"/>
                <w:shd w:val="clear" w:color="auto" w:fill="FFFF00"/>
              </w:rPr>
              <w:t xml:space="preserve">In the case that the feedback-disabled HARQ process is used for the </w:t>
            </w:r>
            <w:r>
              <w:rPr>
                <w:rFonts w:eastAsia="宋体"/>
                <w:strike/>
                <w:color w:val="FF0000"/>
                <w:sz w:val="21"/>
                <w:highlight w:val="yellow"/>
              </w:rPr>
              <w:t>first SPS P</w:t>
            </w:r>
            <w:r>
              <w:rPr>
                <w:strike/>
                <w:color w:val="FF0000"/>
                <w:sz w:val="21"/>
                <w:shd w:val="clear" w:color="auto" w:fill="FFFF00"/>
              </w:rPr>
              <w:t>DSCH</w:t>
            </w:r>
            <w:r>
              <w:rPr>
                <w:strike/>
                <w:sz w:val="21"/>
                <w:shd w:val="clear" w:color="auto" w:fill="FFFF00"/>
              </w:rPr>
              <w:t>,</w:t>
            </w:r>
            <w:r>
              <w:rPr>
                <w:sz w:val="21"/>
                <w:shd w:val="clear" w:color="auto" w:fill="FFFF00"/>
              </w:rPr>
              <w:t xml:space="preserve"> </w:t>
            </w:r>
            <w:r>
              <w:rPr>
                <w:color w:val="FF0000"/>
                <w:sz w:val="21"/>
                <w:shd w:val="clear" w:color="auto" w:fill="FFFF00"/>
              </w:rPr>
              <w:t>I</w:t>
            </w:r>
            <w:r>
              <w:rPr>
                <w:sz w:val="21"/>
                <w:shd w:val="clear" w:color="auto" w:fill="FFFF00"/>
              </w:rPr>
              <w:t xml:space="preserve">f HARQ feedback for SPS activation </w:t>
            </w:r>
            <w:r>
              <w:rPr>
                <w:color w:val="FF0000"/>
                <w:sz w:val="21"/>
                <w:shd w:val="clear" w:color="auto" w:fill="FFFF00"/>
              </w:rPr>
              <w:t>is configured by the network</w:t>
            </w:r>
            <w:r>
              <w:rPr>
                <w:sz w:val="21"/>
                <w:shd w:val="clear" w:color="auto" w:fill="FFFF00"/>
              </w:rPr>
              <w:t>:</w:t>
            </w:r>
          </w:p>
          <w:p w14:paraId="43BB4D28" w14:textId="77777777" w:rsidR="00AA4AC8" w:rsidRDefault="0082369C">
            <w:pPr>
              <w:pStyle w:val="afc"/>
              <w:numPr>
                <w:ilvl w:val="0"/>
                <w:numId w:val="20"/>
              </w:numPr>
              <w:shd w:val="clear" w:color="auto" w:fill="FFFFFF"/>
              <w:snapToGrid w:val="0"/>
              <w:rPr>
                <w:rFonts w:ascii="Times New Roman" w:hAnsi="Times New Roman"/>
                <w:sz w:val="21"/>
                <w:szCs w:val="20"/>
                <w:highlight w:val="yellow"/>
                <w:shd w:val="clear" w:color="auto" w:fill="FFFF00"/>
              </w:rPr>
            </w:pPr>
            <w:r>
              <w:rPr>
                <w:rFonts w:ascii="Times New Roman" w:hAnsi="Times New Roman"/>
                <w:sz w:val="21"/>
                <w:szCs w:val="20"/>
                <w:shd w:val="clear" w:color="auto" w:fill="FFFF00"/>
              </w:rPr>
              <w:lastRenderedPageBreak/>
              <w:t xml:space="preserve">For DCI indicating SPS PDSCH activation, </w:t>
            </w:r>
            <w:r>
              <w:rPr>
                <w:rFonts w:ascii="Times New Roman" w:hAnsi="Times New Roman"/>
                <w:sz w:val="21"/>
                <w:szCs w:val="20"/>
                <w:highlight w:val="yellow"/>
                <w:shd w:val="clear" w:color="auto" w:fill="FFFF00"/>
              </w:rPr>
              <w:t xml:space="preserve">DAI is increased for the DCI indicating SPS activation and ACK/NACK is reported by UE </w:t>
            </w:r>
          </w:p>
          <w:p w14:paraId="038BDD5D" w14:textId="77777777" w:rsidR="00AA4AC8" w:rsidRDefault="0082369C">
            <w:pPr>
              <w:pStyle w:val="afc"/>
              <w:numPr>
                <w:ilvl w:val="0"/>
                <w:numId w:val="20"/>
              </w:numPr>
              <w:shd w:val="clear" w:color="auto" w:fill="FFFFFF"/>
              <w:snapToGrid w:val="0"/>
              <w:rPr>
                <w:rFonts w:ascii="Times New Roman" w:eastAsia="宋体" w:hAnsi="Times New Roman"/>
                <w:color w:val="000000"/>
                <w:sz w:val="21"/>
                <w:szCs w:val="20"/>
              </w:rPr>
            </w:pPr>
            <w:r>
              <w:rPr>
                <w:rFonts w:ascii="Times New Roman" w:eastAsia="宋体" w:hAnsi="Times New Roman"/>
                <w:color w:val="FF0000"/>
                <w:sz w:val="21"/>
                <w:szCs w:val="20"/>
                <w:highlight w:val="yellow"/>
              </w:rPr>
              <w:t>Otherwise</w:t>
            </w:r>
            <w:r>
              <w:rPr>
                <w:rFonts w:ascii="Times New Roman" w:eastAsia="宋体" w:hAnsi="Times New Roman"/>
                <w:color w:val="000000"/>
                <w:sz w:val="21"/>
                <w:szCs w:val="20"/>
                <w:highlight w:val="yellow"/>
              </w:rPr>
              <w:t xml:space="preserve">, UE follows the feedback-enabled/disabled configuration of the </w:t>
            </w:r>
            <w:r>
              <w:rPr>
                <w:rFonts w:ascii="Times New Roman" w:eastAsia="宋体" w:hAnsi="Times New Roman"/>
                <w:strike/>
                <w:color w:val="000000"/>
                <w:sz w:val="21"/>
                <w:szCs w:val="20"/>
                <w:highlight w:val="yellow"/>
              </w:rPr>
              <w:t>HARQ process of the first</w:t>
            </w:r>
            <w:r>
              <w:rPr>
                <w:rFonts w:ascii="Times New Roman" w:eastAsia="宋体" w:hAnsi="Times New Roman"/>
                <w:color w:val="000000"/>
                <w:sz w:val="21"/>
                <w:szCs w:val="20"/>
                <w:highlight w:val="yellow"/>
              </w:rPr>
              <w:t xml:space="preserve"> SPS PDSCH.</w:t>
            </w:r>
          </w:p>
          <w:p w14:paraId="27B7E67E" w14:textId="77777777" w:rsidR="00AA4AC8" w:rsidRDefault="00AA4AC8">
            <w:pPr>
              <w:shd w:val="clear" w:color="auto" w:fill="FFFFFF"/>
              <w:overflowPunct/>
              <w:autoSpaceDE/>
              <w:snapToGrid w:val="0"/>
              <w:spacing w:after="0"/>
              <w:rPr>
                <w:rFonts w:eastAsiaTheme="minorEastAsia"/>
              </w:rPr>
            </w:pPr>
          </w:p>
        </w:tc>
      </w:tr>
      <w:tr w:rsidR="00AA4AC8" w14:paraId="010A5EF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79AAE6" w14:textId="77777777" w:rsidR="00AA4AC8" w:rsidRDefault="0082369C">
            <w:pPr>
              <w:jc w:val="center"/>
              <w:rPr>
                <w:rFonts w:eastAsiaTheme="minorEastAsia" w:cs="Arial"/>
              </w:rPr>
            </w:pPr>
            <w:r>
              <w:rPr>
                <w:rFonts w:eastAsiaTheme="minorEastAsia" w:cs="Arial" w:hint="eastAsia"/>
                <w:lang w:val="en-US"/>
              </w:rPr>
              <w:lastRenderedPageBreak/>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2E9E114C" w14:textId="77777777" w:rsidR="00AA4AC8" w:rsidRDefault="0082369C">
            <w:pPr>
              <w:snapToGrid w:val="0"/>
              <w:rPr>
                <w:rFonts w:eastAsiaTheme="minorEastAsia"/>
              </w:rPr>
            </w:pPr>
            <w:r>
              <w:rPr>
                <w:rFonts w:eastAsiaTheme="minorEastAsia" w:hint="eastAsia"/>
                <w:lang w:val="en-US"/>
              </w:rPr>
              <w:t>Same view as Apple.</w:t>
            </w:r>
          </w:p>
        </w:tc>
      </w:tr>
      <w:tr w:rsidR="009858B0" w14:paraId="26B8445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EAC33D" w14:textId="77777777" w:rsidR="009858B0" w:rsidRDefault="009858B0" w:rsidP="009858B0">
            <w:pPr>
              <w:jc w:val="center"/>
              <w:rPr>
                <w:rFonts w:eastAsiaTheme="minorEastAsia" w:cs="Arial"/>
                <w:lang w:val="en-US"/>
              </w:rPr>
            </w:pPr>
            <w:r>
              <w:rPr>
                <w:rFonts w:eastAsiaTheme="minorEastAsia" w:cs="Arial" w:hint="eastAsia"/>
                <w:lang w:val="en-US"/>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A50BEE6" w14:textId="77777777" w:rsidR="009858B0" w:rsidRDefault="009858B0" w:rsidP="009858B0">
            <w:pPr>
              <w:snapToGrid w:val="0"/>
              <w:rPr>
                <w:rFonts w:eastAsiaTheme="minorEastAsia"/>
                <w:lang w:val="en-US"/>
              </w:rPr>
            </w:pPr>
            <w:r>
              <w:rPr>
                <w:rFonts w:eastAsiaTheme="minorEastAsia" w:hint="eastAsia"/>
                <w:lang w:val="en-US"/>
              </w:rPr>
              <w:t xml:space="preserve">Agree with </w:t>
            </w:r>
            <w:r w:rsidRPr="009858B0">
              <w:rPr>
                <w:rFonts w:eastAsiaTheme="minorEastAsia"/>
                <w:lang w:val="en-US"/>
              </w:rPr>
              <w:t>ZTE’s modification.</w:t>
            </w:r>
          </w:p>
        </w:tc>
      </w:tr>
      <w:tr w:rsidR="00890BF4" w14:paraId="73B1784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4DFCDD" w14:textId="174DA2CA" w:rsidR="00890BF4" w:rsidRPr="00890BF4" w:rsidRDefault="00890BF4" w:rsidP="00890BF4">
            <w:pPr>
              <w:jc w:val="center"/>
              <w:rPr>
                <w:rFonts w:eastAsiaTheme="minorEastAsia" w:cs="Arial"/>
                <w:lang w:val="en-US"/>
              </w:rPr>
            </w:pPr>
            <w:r w:rsidRPr="00890BF4">
              <w:rPr>
                <w:rFonts w:eastAsiaTheme="minorEastAsia" w:cs="Arial"/>
                <w:lang w:val="en-US"/>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2EA5AFE" w14:textId="186AE4FE" w:rsidR="00890BF4" w:rsidRDefault="00890BF4" w:rsidP="00890BF4">
            <w:pPr>
              <w:snapToGrid w:val="0"/>
              <w:rPr>
                <w:rFonts w:eastAsiaTheme="minorEastAsia"/>
                <w:lang w:val="en-US"/>
              </w:rPr>
            </w:pPr>
            <w:r>
              <w:rPr>
                <w:rFonts w:eastAsiaTheme="minorEastAsia"/>
                <w:lang w:val="en-US"/>
              </w:rPr>
              <w:t>Support.</w:t>
            </w:r>
          </w:p>
        </w:tc>
      </w:tr>
    </w:tbl>
    <w:p w14:paraId="708072CA" w14:textId="1D549BAC" w:rsidR="006A1C81" w:rsidRDefault="006A1C81" w:rsidP="006A1C81">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Updated based on the email discussion </w:t>
      </w:r>
    </w:p>
    <w:p w14:paraId="0621D24B" w14:textId="0F6A270E" w:rsidR="00AA4AC8" w:rsidRDefault="006A1C81">
      <w:pPr>
        <w:spacing w:beforeLines="50" w:before="120" w:after="120"/>
        <w:ind w:left="288"/>
        <w:rPr>
          <w:rFonts w:eastAsiaTheme="minorEastAsia"/>
        </w:rPr>
      </w:pPr>
      <w:r>
        <w:rPr>
          <w:rFonts w:eastAsiaTheme="minorEastAsia" w:hint="eastAsia"/>
        </w:rPr>
        <w:t>A</w:t>
      </w:r>
      <w:r>
        <w:rPr>
          <w:rFonts w:eastAsiaTheme="minorEastAsia"/>
        </w:rPr>
        <w:t>ccording to the 2</w:t>
      </w:r>
      <w:r w:rsidRPr="005C123D">
        <w:rPr>
          <w:rFonts w:eastAsiaTheme="minorEastAsia"/>
          <w:vertAlign w:val="superscript"/>
        </w:rPr>
        <w:t>nd</w:t>
      </w:r>
      <w:r>
        <w:rPr>
          <w:rFonts w:eastAsiaTheme="minorEastAsia"/>
        </w:rPr>
        <w:t xml:space="preserve"> round discussion and further discussion, it seems that companies share different views on the enhancement, </w:t>
      </w:r>
      <w:r w:rsidR="008919C4">
        <w:rPr>
          <w:rFonts w:eastAsiaTheme="minorEastAsia"/>
        </w:rPr>
        <w:t>but the version below seems to be aligned default way, i.e., (2</w:t>
      </w:r>
      <w:r w:rsidR="008919C4" w:rsidRPr="008919C4">
        <w:rPr>
          <w:rFonts w:eastAsiaTheme="minorEastAsia"/>
          <w:vertAlign w:val="superscript"/>
        </w:rPr>
        <w:t>nd</w:t>
      </w:r>
      <w:r w:rsidR="008919C4">
        <w:rPr>
          <w:rFonts w:eastAsiaTheme="minorEastAsia"/>
        </w:rPr>
        <w:t xml:space="preserve"> sub-bullet).</w:t>
      </w:r>
    </w:p>
    <w:p w14:paraId="142AC610" w14:textId="77777777" w:rsidR="008919C4" w:rsidRPr="00C61348" w:rsidRDefault="008919C4" w:rsidP="008919C4">
      <w:pPr>
        <w:shd w:val="clear" w:color="auto" w:fill="FFFFFF"/>
        <w:overflowPunct/>
        <w:autoSpaceDE/>
        <w:autoSpaceDN/>
        <w:adjustRightInd/>
        <w:spacing w:after="0" w:line="315" w:lineRule="atLeast"/>
        <w:textAlignment w:val="auto"/>
        <w:rPr>
          <w:rFonts w:ascii="Arial" w:eastAsia="宋体" w:hAnsi="Arial" w:cs="Arial"/>
          <w:color w:val="000000"/>
          <w:sz w:val="21"/>
          <w:szCs w:val="21"/>
          <w:lang w:val="en-US"/>
        </w:rPr>
      </w:pPr>
      <w:r w:rsidRPr="00C61348">
        <w:rPr>
          <w:rFonts w:eastAsia="宋体"/>
          <w:b/>
          <w:bCs/>
          <w:color w:val="000000"/>
          <w:shd w:val="clear" w:color="auto" w:fill="FFFF00"/>
          <w:lang w:val="en-US"/>
        </w:rPr>
        <w:t>[Updated Initial Proposal 2.2-</w:t>
      </w:r>
      <w:r w:rsidRPr="00C61348">
        <w:rPr>
          <w:rFonts w:eastAsia="宋体"/>
          <w:b/>
          <w:bCs/>
          <w:color w:val="000000"/>
          <w:shd w:val="clear" w:color="auto" w:fill="FF0000"/>
          <w:lang w:val="en-US"/>
        </w:rPr>
        <w:t>V4</w:t>
      </w:r>
      <w:r w:rsidRPr="00C61348">
        <w:rPr>
          <w:rFonts w:eastAsia="宋体"/>
          <w:b/>
          <w:bCs/>
          <w:color w:val="000000"/>
          <w:shd w:val="clear" w:color="auto" w:fill="FFFF00"/>
          <w:lang w:val="en-US"/>
        </w:rPr>
        <w:t>]</w:t>
      </w:r>
    </w:p>
    <w:p w14:paraId="47FD0591" w14:textId="77777777" w:rsidR="008919C4" w:rsidRPr="00E87A25" w:rsidRDefault="008919C4" w:rsidP="008919C4">
      <w:pPr>
        <w:shd w:val="clear" w:color="auto" w:fill="FFFFFF"/>
        <w:overflowPunct/>
        <w:autoSpaceDE/>
        <w:autoSpaceDN/>
        <w:adjustRightInd/>
        <w:spacing w:after="0" w:line="315" w:lineRule="atLeast"/>
        <w:textAlignment w:val="auto"/>
        <w:rPr>
          <w:rFonts w:eastAsia="宋体"/>
          <w:color w:val="000000" w:themeColor="text1"/>
          <w:lang w:val="en-US"/>
        </w:rPr>
      </w:pPr>
      <w:r w:rsidRPr="00C61348">
        <w:rPr>
          <w:rFonts w:eastAsia="宋体"/>
          <w:color w:val="000000" w:themeColor="text1"/>
          <w:shd w:val="clear" w:color="auto" w:fill="FFFF00"/>
          <w:lang w:val="en-US"/>
        </w:rPr>
        <w:t>HARQ feedback for SPS activation may be </w:t>
      </w:r>
      <w:r w:rsidRPr="00E87A25">
        <w:rPr>
          <w:rFonts w:eastAsia="宋体"/>
          <w:bCs/>
          <w:color w:val="000000" w:themeColor="text1"/>
          <w:shd w:val="clear" w:color="auto" w:fill="FFFF00"/>
          <w:lang w:val="en-US"/>
        </w:rPr>
        <w:t>additionally</w:t>
      </w:r>
      <w:r w:rsidRPr="00C61348">
        <w:rPr>
          <w:rFonts w:eastAsia="宋体"/>
          <w:color w:val="000000" w:themeColor="text1"/>
          <w:shd w:val="clear" w:color="auto" w:fill="FFFF00"/>
          <w:lang w:val="en-US"/>
        </w:rPr>
        <w:t> enabled by the network.</w:t>
      </w:r>
    </w:p>
    <w:p w14:paraId="50CB5687" w14:textId="77777777" w:rsidR="008919C4" w:rsidRPr="00E87A25" w:rsidRDefault="008919C4" w:rsidP="008919C4">
      <w:pPr>
        <w:pStyle w:val="afc"/>
        <w:numPr>
          <w:ilvl w:val="0"/>
          <w:numId w:val="14"/>
        </w:numPr>
        <w:snapToGrid w:val="0"/>
        <w:rPr>
          <w:rFonts w:ascii="Times New Roman" w:eastAsia="宋体" w:hAnsi="Times New Roman"/>
          <w:color w:val="000000" w:themeColor="text1"/>
          <w:sz w:val="20"/>
          <w:szCs w:val="20"/>
          <w:lang w:val="en-US"/>
        </w:rPr>
      </w:pPr>
      <w:r w:rsidRPr="00E87A25">
        <w:rPr>
          <w:rFonts w:ascii="Times New Roman" w:eastAsia="宋体" w:hAnsi="Times New Roman"/>
          <w:color w:val="000000" w:themeColor="text1"/>
          <w:sz w:val="20"/>
          <w:szCs w:val="20"/>
          <w:shd w:val="clear" w:color="auto" w:fill="FFFF00"/>
          <w:lang w:val="en-US"/>
        </w:rPr>
        <w:t>If enabled, UE reports ACK/NACK for </w:t>
      </w:r>
      <w:r w:rsidRPr="00E87A25">
        <w:rPr>
          <w:rFonts w:ascii="Times New Roman" w:eastAsia="宋体" w:hAnsi="Times New Roman"/>
          <w:bCs/>
          <w:color w:val="000000" w:themeColor="text1"/>
          <w:sz w:val="20"/>
          <w:szCs w:val="20"/>
          <w:shd w:val="clear" w:color="auto" w:fill="FFFF00"/>
          <w:lang w:val="en-US"/>
        </w:rPr>
        <w:t>the first SPS PDSCH</w:t>
      </w:r>
      <w:r w:rsidRPr="00E87A25">
        <w:rPr>
          <w:rFonts w:ascii="Times New Roman" w:eastAsia="宋体" w:hAnsi="Times New Roman"/>
          <w:color w:val="000000" w:themeColor="text1"/>
          <w:sz w:val="20"/>
          <w:szCs w:val="20"/>
          <w:shd w:val="clear" w:color="auto" w:fill="FFFF00"/>
          <w:lang w:val="en-US"/>
        </w:rPr>
        <w:t xml:space="preserve"> after activation, regardless of if HARQ feedback is enabled or disabled </w:t>
      </w:r>
      <w:r w:rsidRPr="00A24FB0">
        <w:rPr>
          <w:rFonts w:ascii="Times New Roman" w:eastAsia="宋体" w:hAnsi="Times New Roman"/>
          <w:color w:val="FF0000"/>
          <w:sz w:val="20"/>
          <w:szCs w:val="20"/>
          <w:shd w:val="clear" w:color="auto" w:fill="FFFF00"/>
          <w:lang w:val="en-US"/>
        </w:rPr>
        <w:t>for the associated HARQ process</w:t>
      </w:r>
    </w:p>
    <w:p w14:paraId="23C3647E" w14:textId="77777777" w:rsidR="008919C4" w:rsidRPr="00E87A25" w:rsidRDefault="008919C4" w:rsidP="008919C4">
      <w:pPr>
        <w:pStyle w:val="afc"/>
        <w:numPr>
          <w:ilvl w:val="1"/>
          <w:numId w:val="14"/>
        </w:numPr>
        <w:snapToGrid w:val="0"/>
        <w:rPr>
          <w:rFonts w:ascii="Times New Roman" w:eastAsia="宋体" w:hAnsi="Times New Roman"/>
          <w:color w:val="000000" w:themeColor="text1"/>
          <w:sz w:val="20"/>
          <w:szCs w:val="20"/>
          <w:lang w:val="en-US"/>
        </w:rPr>
      </w:pPr>
      <w:r w:rsidRPr="00E87A25">
        <w:rPr>
          <w:rFonts w:ascii="Times New Roman" w:eastAsia="宋体" w:hAnsi="Times New Roman"/>
          <w:color w:val="000000" w:themeColor="text1"/>
          <w:sz w:val="20"/>
          <w:szCs w:val="20"/>
          <w:shd w:val="clear" w:color="auto" w:fill="FFFF00"/>
          <w:lang w:val="en-US"/>
        </w:rPr>
        <w:t>For Type-1 codebook, ACK is generated as a HARQ-ACK bit corresponding to the first SPS PDSCH when the UE decodes the SPS activation successfully, regardless of decoding results of the first SPS PDSCH.</w:t>
      </w:r>
    </w:p>
    <w:p w14:paraId="19F2FB62" w14:textId="77777777" w:rsidR="008919C4" w:rsidRPr="00C61348" w:rsidRDefault="008919C4" w:rsidP="008919C4">
      <w:pPr>
        <w:pStyle w:val="afc"/>
        <w:numPr>
          <w:ilvl w:val="0"/>
          <w:numId w:val="14"/>
        </w:numPr>
        <w:snapToGrid w:val="0"/>
        <w:rPr>
          <w:rFonts w:ascii="Times New Roman" w:eastAsia="宋体" w:hAnsi="Times New Roman"/>
          <w:color w:val="000000" w:themeColor="text1"/>
          <w:sz w:val="20"/>
          <w:szCs w:val="20"/>
          <w:lang w:val="en-US"/>
        </w:rPr>
      </w:pPr>
      <w:r w:rsidRPr="00E87A25">
        <w:rPr>
          <w:rFonts w:ascii="Times New Roman" w:eastAsia="宋体" w:hAnsi="Times New Roman"/>
          <w:color w:val="000000" w:themeColor="text1"/>
          <w:sz w:val="20"/>
          <w:szCs w:val="20"/>
          <w:shd w:val="clear" w:color="auto" w:fill="FFFF00"/>
          <w:lang w:val="en-US"/>
        </w:rPr>
        <w:t>Otherwise</w:t>
      </w:r>
      <w:r w:rsidRPr="00C61348">
        <w:rPr>
          <w:rFonts w:ascii="Times New Roman" w:eastAsia="宋体" w:hAnsi="Times New Roman"/>
          <w:color w:val="000000" w:themeColor="text1"/>
          <w:sz w:val="20"/>
          <w:szCs w:val="20"/>
          <w:shd w:val="clear" w:color="auto" w:fill="FFFF00"/>
          <w:lang w:val="en-US"/>
        </w:rPr>
        <w:t>, UE follows</w:t>
      </w:r>
      <w:r w:rsidRPr="00C61348">
        <w:rPr>
          <w:rFonts w:ascii="Times New Roman" w:eastAsia="宋体" w:hAnsi="Times New Roman"/>
          <w:color w:val="FF0000"/>
          <w:sz w:val="20"/>
          <w:szCs w:val="20"/>
          <w:shd w:val="clear" w:color="auto" w:fill="FFFF00"/>
          <w:lang w:val="en-US"/>
        </w:rPr>
        <w:t xml:space="preserve"> the per-process configuration</w:t>
      </w:r>
      <w:r w:rsidRPr="00C61348">
        <w:rPr>
          <w:rFonts w:ascii="Times New Roman" w:eastAsia="宋体" w:hAnsi="Times New Roman"/>
          <w:color w:val="000000" w:themeColor="text1"/>
          <w:sz w:val="20"/>
          <w:szCs w:val="20"/>
          <w:shd w:val="clear" w:color="auto" w:fill="FFFF00"/>
          <w:lang w:val="en-US"/>
        </w:rPr>
        <w:t xml:space="preserve"> of HARQ feedback enabled/disabled </w:t>
      </w:r>
      <w:r w:rsidRPr="00C61348">
        <w:rPr>
          <w:rFonts w:ascii="Times New Roman" w:eastAsia="宋体" w:hAnsi="Times New Roman"/>
          <w:color w:val="FF0000"/>
          <w:sz w:val="20"/>
          <w:szCs w:val="20"/>
          <w:shd w:val="clear" w:color="auto" w:fill="FFFF00"/>
          <w:lang w:val="en-US"/>
        </w:rPr>
        <w:t>for the associated HARQ process</w:t>
      </w:r>
    </w:p>
    <w:p w14:paraId="72B7AE9D" w14:textId="0750E4B3" w:rsidR="0045088A" w:rsidRDefault="0045088A" w:rsidP="0045088A">
      <w:pPr>
        <w:spacing w:beforeLines="50" w:before="120" w:after="120"/>
        <w:ind w:left="288"/>
        <w:rPr>
          <w:rFonts w:eastAsia="微软雅黑"/>
          <w:color w:val="000000"/>
          <w:lang w:val="en-US"/>
        </w:rPr>
      </w:pPr>
      <w:r w:rsidRPr="008919C4">
        <w:rPr>
          <w:rFonts w:eastAsiaTheme="minorEastAsia"/>
          <w:lang w:val="en-US"/>
        </w:rPr>
        <w:t xml:space="preserve">From moderator’s perspective, </w:t>
      </w:r>
      <w:r w:rsidRPr="008919C4">
        <w:rPr>
          <w:rFonts w:eastAsia="微软雅黑"/>
          <w:color w:val="000000"/>
          <w:lang w:val="en-US"/>
        </w:rPr>
        <w:t xml:space="preserve">for sake of progress, i prefer to go with the </w:t>
      </w:r>
      <w:r w:rsidRPr="008919C4">
        <w:rPr>
          <w:rFonts w:eastAsia="宋体"/>
          <w:b/>
          <w:bCs/>
          <w:color w:val="000000"/>
          <w:shd w:val="clear" w:color="auto" w:fill="FFFF00"/>
          <w:lang w:val="en-US"/>
        </w:rPr>
        <w:t>[Updated Initial Proposal 2.2-</w:t>
      </w:r>
      <w:r w:rsidRPr="008919C4">
        <w:rPr>
          <w:rFonts w:eastAsia="宋体"/>
          <w:b/>
          <w:bCs/>
          <w:color w:val="000000"/>
          <w:shd w:val="clear" w:color="auto" w:fill="FF0000"/>
          <w:lang w:val="en-US"/>
        </w:rPr>
        <w:t>V4</w:t>
      </w:r>
      <w:r w:rsidRPr="008919C4">
        <w:rPr>
          <w:rFonts w:eastAsia="宋体"/>
          <w:b/>
          <w:bCs/>
          <w:color w:val="000000"/>
          <w:shd w:val="clear" w:color="auto" w:fill="FFFF00"/>
          <w:lang w:val="en-US"/>
        </w:rPr>
        <w:t>] </w:t>
      </w:r>
      <w:r w:rsidRPr="008919C4">
        <w:rPr>
          <w:rFonts w:eastAsia="宋体"/>
          <w:b/>
          <w:bCs/>
          <w:color w:val="0433FF"/>
          <w:shd w:val="clear" w:color="auto" w:fill="FFFF00"/>
          <w:lang w:val="en-US"/>
        </w:rPr>
        <w:t>(Modified-1)</w:t>
      </w:r>
      <w:r w:rsidRPr="008919C4">
        <w:rPr>
          <w:rFonts w:eastAsia="微软雅黑"/>
          <w:color w:val="000000"/>
          <w:lang w:val="en-US"/>
        </w:rPr>
        <w:t xml:space="preserve"> listed in section 9.1</w:t>
      </w:r>
      <w:r>
        <w:rPr>
          <w:rFonts w:eastAsia="微软雅黑"/>
          <w:color w:val="000000"/>
          <w:lang w:val="en-US"/>
        </w:rPr>
        <w:t xml:space="preserve"> for GTW</w:t>
      </w:r>
      <w:r w:rsidRPr="008919C4">
        <w:rPr>
          <w:rFonts w:eastAsia="微软雅黑"/>
          <w:color w:val="000000"/>
          <w:lang w:val="en-US"/>
        </w:rPr>
        <w:t>. But still, there are some companies try to take further progress between Alt-1 and Alt-2 (</w:t>
      </w:r>
      <w:r>
        <w:rPr>
          <w:rFonts w:eastAsia="微软雅黑"/>
          <w:color w:val="000000"/>
          <w:lang w:val="en-US"/>
        </w:rPr>
        <w:t xml:space="preserve">in bracket under the proposal), which is </w:t>
      </w:r>
      <w:r w:rsidR="00D77C05">
        <w:rPr>
          <w:rFonts w:eastAsia="微软雅黑"/>
          <w:color w:val="000000"/>
          <w:lang w:val="en-US"/>
        </w:rPr>
        <w:t xml:space="preserve">equivalent </w:t>
      </w:r>
      <w:r>
        <w:rPr>
          <w:rFonts w:eastAsia="微软雅黑"/>
          <w:color w:val="000000"/>
          <w:lang w:val="en-US"/>
        </w:rPr>
        <w:t xml:space="preserve">to confirm that the </w:t>
      </w:r>
      <w:r w:rsidR="00A17726">
        <w:rPr>
          <w:rFonts w:eastAsia="微软雅黑" w:hint="eastAsia"/>
          <w:color w:val="000000"/>
          <w:lang w:val="en-US"/>
        </w:rPr>
        <w:t>following</w:t>
      </w:r>
      <w:r w:rsidR="00A17726">
        <w:rPr>
          <w:rFonts w:eastAsia="微软雅黑"/>
          <w:color w:val="000000"/>
          <w:lang w:val="en-US"/>
        </w:rPr>
        <w:t xml:space="preserve"> description </w:t>
      </w:r>
      <w:r>
        <w:rPr>
          <w:rFonts w:eastAsia="微软雅黑"/>
          <w:color w:val="000000"/>
          <w:lang w:val="en-US"/>
        </w:rPr>
        <w:t>as</w:t>
      </w:r>
      <w:r>
        <w:rPr>
          <w:rFonts w:eastAsia="微软雅黑" w:hint="eastAsia"/>
          <w:color w:val="000000"/>
          <w:lang w:val="en-US"/>
        </w:rPr>
        <w:t>:</w:t>
      </w:r>
    </w:p>
    <w:p w14:paraId="575C5CE5" w14:textId="77777777" w:rsidR="0045088A" w:rsidRDefault="0045088A" w:rsidP="0045088A">
      <w:pPr>
        <w:spacing w:beforeLines="50" w:before="120" w:after="120"/>
        <w:ind w:left="288"/>
        <w:rPr>
          <w:rFonts w:eastAsia="微软雅黑"/>
          <w:b/>
          <w:color w:val="000000"/>
          <w:lang w:val="en-US"/>
        </w:rPr>
      </w:pPr>
      <w:r w:rsidRPr="005B20A7">
        <w:rPr>
          <w:rFonts w:eastAsia="微软雅黑"/>
          <w:b/>
          <w:color w:val="000000"/>
          <w:lang w:val="en-US"/>
        </w:rPr>
        <w:t xml:space="preserve">For SPS PDSCH, </w:t>
      </w:r>
      <w:r w:rsidRPr="005B20A7">
        <w:rPr>
          <w:rFonts w:eastAsia="微软雅黑" w:hint="eastAsia"/>
          <w:b/>
          <w:color w:val="000000"/>
          <w:lang w:val="en-US"/>
        </w:rPr>
        <w:t>T</w:t>
      </w:r>
      <w:r w:rsidRPr="005B20A7">
        <w:rPr>
          <w:rFonts w:eastAsia="微软雅黑"/>
          <w:b/>
          <w:color w:val="000000"/>
          <w:lang w:val="en-US"/>
        </w:rPr>
        <w:t xml:space="preserve">he disabling/enabling of HARQ process is per SPS PDSCH configuration. </w:t>
      </w:r>
    </w:p>
    <w:p w14:paraId="6396D8F5" w14:textId="6970FA23" w:rsidR="0045088A" w:rsidRPr="0045088A" w:rsidRDefault="0045088A" w:rsidP="0045088A">
      <w:pPr>
        <w:spacing w:beforeLines="50" w:before="120" w:after="120"/>
        <w:ind w:left="288"/>
        <w:rPr>
          <w:rFonts w:eastAsia="微软雅黑"/>
          <w:b/>
          <w:color w:val="000000"/>
          <w:lang w:val="en-US"/>
        </w:rPr>
      </w:pPr>
      <w:r w:rsidRPr="00BB46ED">
        <w:rPr>
          <w:rFonts w:eastAsia="微软雅黑"/>
          <w:color w:val="000000"/>
          <w:u w:val="single"/>
          <w:lang w:val="en-US"/>
        </w:rPr>
        <w:t>If it's failed, the Alt-1 will be the behavior by default</w:t>
      </w:r>
      <w:r w:rsidR="00C66129" w:rsidRPr="00BB46ED">
        <w:rPr>
          <w:rFonts w:eastAsia="微软雅黑"/>
          <w:color w:val="000000"/>
          <w:u w:val="single"/>
          <w:lang w:val="en-US"/>
        </w:rPr>
        <w:t xml:space="preserve"> and similar to DG, the disabling/enabling of HARQ process is per for SPS PDSCH will be configured per HARQ process.</w:t>
      </w:r>
      <w:r w:rsidR="00C66129" w:rsidRPr="00C66129">
        <w:rPr>
          <w:rFonts w:eastAsia="微软雅黑"/>
          <w:color w:val="000000"/>
          <w:lang w:val="en-US"/>
        </w:rPr>
        <w:t xml:space="preserve"> Then, </w:t>
      </w:r>
      <w:r w:rsidRPr="008919C4">
        <w:rPr>
          <w:rFonts w:eastAsia="微软雅黑"/>
          <w:color w:val="000000"/>
          <w:lang w:val="en-US"/>
        </w:rPr>
        <w:t xml:space="preserve">the proposal will be aligned with </w:t>
      </w:r>
      <w:r w:rsidRPr="00C61348">
        <w:rPr>
          <w:rFonts w:eastAsia="宋体"/>
          <w:b/>
          <w:bCs/>
          <w:color w:val="000000"/>
          <w:shd w:val="clear" w:color="auto" w:fill="FFFF00"/>
          <w:lang w:val="en-US"/>
        </w:rPr>
        <w:t>[Updated Initial Proposal 2.2-</w:t>
      </w:r>
      <w:r w:rsidRPr="00C61348">
        <w:rPr>
          <w:rFonts w:eastAsia="宋体"/>
          <w:b/>
          <w:bCs/>
          <w:color w:val="000000"/>
          <w:shd w:val="clear" w:color="auto" w:fill="FF0000"/>
          <w:lang w:val="en-US"/>
        </w:rPr>
        <w:t>V4</w:t>
      </w:r>
      <w:r w:rsidRPr="00C61348">
        <w:rPr>
          <w:rFonts w:eastAsia="宋体"/>
          <w:b/>
          <w:bCs/>
          <w:color w:val="000000"/>
          <w:shd w:val="clear" w:color="auto" w:fill="FFFF00"/>
          <w:lang w:val="en-US"/>
        </w:rPr>
        <w:t>]</w:t>
      </w:r>
      <w:r>
        <w:rPr>
          <w:rFonts w:ascii="Arial" w:eastAsia="宋体" w:hAnsi="Arial" w:cs="Arial" w:hint="eastAsia"/>
          <w:color w:val="000000"/>
          <w:sz w:val="21"/>
          <w:szCs w:val="21"/>
          <w:lang w:val="en-US"/>
        </w:rPr>
        <w:t>.</w:t>
      </w:r>
    </w:p>
    <w:p w14:paraId="5A8D3E64"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Issue-3 PDSCH scheduling restriction</w:t>
      </w:r>
    </w:p>
    <w:p w14:paraId="779F768A"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3B9381C5" w14:textId="77777777" w:rsidR="00AA4AC8" w:rsidRDefault="0082369C">
      <w:pPr>
        <w:spacing w:beforeLines="50" w:before="120" w:after="120"/>
        <w:ind w:leftChars="100" w:left="200"/>
      </w:pPr>
      <w:r>
        <w:t>The OOO issue (out of order HARQ feedback scheduling restriction for PDSCHs with different HARQ process IDs) has been discussed. From the specification perspective, following two points should be clarified for this issue:</w:t>
      </w:r>
    </w:p>
    <w:p w14:paraId="24E6434D" w14:textId="77777777" w:rsidR="00AA4AC8" w:rsidRDefault="0082369C">
      <w:pPr>
        <w:pStyle w:val="afc"/>
        <w:numPr>
          <w:ilvl w:val="0"/>
          <w:numId w:val="22"/>
        </w:numPr>
        <w:spacing w:beforeLines="50" w:before="120" w:after="120"/>
        <w:rPr>
          <w:rFonts w:ascii="Times New Roman" w:hAnsi="Times New Roman"/>
          <w:sz w:val="20"/>
          <w:szCs w:val="20"/>
        </w:rPr>
      </w:pPr>
      <w:r>
        <w:rPr>
          <w:rFonts w:ascii="Times New Roman" w:hAnsi="Times New Roman"/>
          <w:sz w:val="20"/>
          <w:szCs w:val="20"/>
        </w:rPr>
        <w:t>Aspect-1: Whether the legacy OOO restriction is applied to disabled HARQ processes</w:t>
      </w:r>
    </w:p>
    <w:p w14:paraId="30B0A78E" w14:textId="77777777" w:rsidR="00AA4AC8" w:rsidRDefault="0082369C">
      <w:pPr>
        <w:pStyle w:val="afc"/>
        <w:numPr>
          <w:ilvl w:val="0"/>
          <w:numId w:val="23"/>
        </w:numPr>
        <w:spacing w:beforeLines="50" w:before="120" w:after="120"/>
        <w:rPr>
          <w:rFonts w:ascii="Times New Roman" w:hAnsi="Times New Roman"/>
          <w:sz w:val="20"/>
          <w:szCs w:val="20"/>
        </w:rPr>
      </w:pPr>
      <w:r>
        <w:rPr>
          <w:rFonts w:ascii="Times New Roman" w:hAnsi="Times New Roman"/>
          <w:sz w:val="20"/>
          <w:szCs w:val="20"/>
        </w:rPr>
        <w:t xml:space="preserve">Keep the legacy OOO restriction for the disabled HARQ processes [CATT,ZTE] </w:t>
      </w:r>
    </w:p>
    <w:p w14:paraId="0418D07A" w14:textId="77777777" w:rsidR="00AA4AC8" w:rsidRDefault="0082369C">
      <w:pPr>
        <w:pStyle w:val="afc"/>
        <w:spacing w:beforeLines="50" w:before="120" w:after="120"/>
        <w:ind w:left="980"/>
        <w:rPr>
          <w:rFonts w:ascii="Times New Roman" w:hAnsi="Times New Roman"/>
          <w:sz w:val="20"/>
          <w:szCs w:val="20"/>
        </w:rPr>
      </w:pPr>
      <w:r>
        <w:rPr>
          <w:rFonts w:ascii="Times New Roman" w:hAnsi="Times New Roman"/>
          <w:sz w:val="20"/>
          <w:szCs w:val="20"/>
        </w:rPr>
        <w:t xml:space="preserve">Regarding this option, companies highlight that </w:t>
      </w:r>
      <w:r>
        <w:rPr>
          <w:rFonts w:ascii="Times New Roman" w:eastAsiaTheme="minorEastAsia" w:hAnsi="Times New Roman"/>
          <w:sz w:val="20"/>
          <w:szCs w:val="20"/>
        </w:rPr>
        <w:t>s</w:t>
      </w:r>
      <w:r>
        <w:rPr>
          <w:rFonts w:ascii="Times New Roman" w:hAnsi="Times New Roman"/>
          <w:sz w:val="20"/>
          <w:szCs w:val="20"/>
        </w:rPr>
        <w:t>ince the OOO issue is a NR feature, which is used for unnecessary waste of resources and power, then it is nature to use it as the baseline with consideration on the joint existence of feedback-enabled and feedback-disabled HARQ processes</w:t>
      </w:r>
    </w:p>
    <w:p w14:paraId="47027C49" w14:textId="77777777" w:rsidR="00AA4AC8" w:rsidRDefault="0082369C">
      <w:pPr>
        <w:pStyle w:val="afc"/>
        <w:numPr>
          <w:ilvl w:val="0"/>
          <w:numId w:val="23"/>
        </w:numPr>
        <w:spacing w:beforeLines="50" w:before="120" w:after="120"/>
        <w:rPr>
          <w:rFonts w:ascii="Times New Roman" w:hAnsi="Times New Roman"/>
          <w:sz w:val="20"/>
          <w:szCs w:val="20"/>
        </w:rPr>
      </w:pPr>
      <w:r>
        <w:rPr>
          <w:rFonts w:ascii="Times New Roman" w:hAnsi="Times New Roman"/>
          <w:sz w:val="20"/>
          <w:szCs w:val="20"/>
        </w:rPr>
        <w:t>The legacy OOO restriction is not available for the disabled HARQ process [Samsung]</w:t>
      </w:r>
    </w:p>
    <w:p w14:paraId="4566DD8D" w14:textId="77777777" w:rsidR="00AA4AC8" w:rsidRDefault="0082369C">
      <w:pPr>
        <w:pStyle w:val="afc"/>
        <w:spacing w:beforeLines="50" w:before="120" w:after="120"/>
        <w:ind w:left="980"/>
        <w:rPr>
          <w:rFonts w:ascii="Times New Roman" w:eastAsia="Malgun Gothic" w:hAnsi="Times New Roman"/>
          <w:sz w:val="20"/>
          <w:szCs w:val="20"/>
        </w:rPr>
      </w:pPr>
      <w:r>
        <w:rPr>
          <w:rFonts w:ascii="Times New Roman" w:hAnsi="Times New Roman"/>
          <w:sz w:val="20"/>
          <w:szCs w:val="20"/>
        </w:rPr>
        <w:t xml:space="preserve">Regarding this option, company highlights that </w:t>
      </w:r>
      <w:r>
        <w:rPr>
          <w:rFonts w:ascii="Times New Roman" w:eastAsia="Malgun Gothic" w:hAnsi="Times New Roman"/>
          <w:sz w:val="20"/>
          <w:szCs w:val="20"/>
        </w:rPr>
        <w:t xml:space="preserve">the Rel-16 “out-of-order” scheduling does not apply when a PDCCH is associated with a HARQ process having disabled HARQ-ACK report as there is no indication of a PUCCH transmission with HARQ-ACK (if PUCCH is transmitted, it would be due to another PDCCH associated with a HARQ process with enabled HARQ-ACK report – that is the case for any HARQ-ACK CB type). Therefore, nothing needs to be specified for “out-of-order” scheduling with respect to PDCCHs associated with HARQ processes with disabled HARQ-ACK reports. Only the PDSCH processing timeline constraint for </w:t>
      </w:r>
      <m:oMath>
        <m:sSub>
          <m:sSubPr>
            <m:ctrlPr>
              <w:rPr>
                <w:rFonts w:ascii="Cambria Math" w:eastAsia="Malgun Gothic" w:hAnsi="Cambria Math"/>
                <w:i/>
                <w:sz w:val="20"/>
                <w:szCs w:val="20"/>
              </w:rPr>
            </m:ctrlPr>
          </m:sSubPr>
          <m:e>
            <m:r>
              <w:rPr>
                <w:rFonts w:ascii="Cambria Math" w:eastAsia="Malgun Gothic" w:hAnsi="Cambria Math"/>
                <w:sz w:val="20"/>
                <w:szCs w:val="20"/>
              </w:rPr>
              <m:t>T</m:t>
            </m:r>
          </m:e>
          <m:sub>
            <m:r>
              <m:rPr>
                <m:sty m:val="p"/>
              </m:rPr>
              <w:rPr>
                <w:rFonts w:ascii="Cambria Math" w:eastAsia="Malgun Gothic" w:hAnsi="Cambria Math"/>
                <w:sz w:val="20"/>
                <w:szCs w:val="20"/>
              </w:rPr>
              <m:t>proc,</m:t>
            </m:r>
            <m:r>
              <w:rPr>
                <w:rFonts w:ascii="Cambria Math" w:eastAsia="Malgun Gothic" w:hAnsi="Cambria Math"/>
                <w:sz w:val="20"/>
                <w:szCs w:val="20"/>
              </w:rPr>
              <m:t>1</m:t>
            </m:r>
          </m:sub>
        </m:sSub>
      </m:oMath>
      <w:r>
        <w:rPr>
          <w:rFonts w:ascii="Times New Roman" w:eastAsia="Malgun Gothic" w:hAnsi="Times New Roman"/>
          <w:sz w:val="20"/>
          <w:szCs w:val="20"/>
        </w:rPr>
        <w:t xml:space="preserve"> is necessary.  </w:t>
      </w:r>
    </w:p>
    <w:p w14:paraId="164E4CAE" w14:textId="77777777" w:rsidR="00AA4AC8" w:rsidRDefault="0082369C">
      <w:pPr>
        <w:pStyle w:val="afc"/>
        <w:numPr>
          <w:ilvl w:val="0"/>
          <w:numId w:val="22"/>
        </w:numPr>
        <w:spacing w:beforeLines="50" w:before="120" w:after="120"/>
        <w:rPr>
          <w:rFonts w:ascii="Times New Roman" w:hAnsi="Times New Roman"/>
          <w:sz w:val="20"/>
          <w:szCs w:val="20"/>
        </w:rPr>
      </w:pPr>
      <w:r>
        <w:rPr>
          <w:rFonts w:ascii="Times New Roman" w:hAnsi="Times New Roman"/>
          <w:sz w:val="20"/>
          <w:szCs w:val="20"/>
        </w:rPr>
        <w:lastRenderedPageBreak/>
        <w:t xml:space="preserve">Aspect-2: Whether the bit-field in DCI to determine the ACK/NACK feedback is still needed in case of feedback-disabled feedback. </w:t>
      </w:r>
    </w:p>
    <w:p w14:paraId="54E07C9C" w14:textId="77777777" w:rsidR="00AA4AC8" w:rsidRDefault="0082369C">
      <w:pPr>
        <w:pStyle w:val="afc"/>
        <w:numPr>
          <w:ilvl w:val="0"/>
          <w:numId w:val="23"/>
        </w:numPr>
        <w:spacing w:beforeLines="50" w:before="120" w:after="120"/>
        <w:rPr>
          <w:rFonts w:ascii="Times New Roman" w:hAnsi="Times New Roman"/>
          <w:sz w:val="20"/>
          <w:szCs w:val="20"/>
        </w:rPr>
      </w:pPr>
      <w:r>
        <w:rPr>
          <w:rFonts w:ascii="Times New Roman" w:hAnsi="Times New Roman"/>
          <w:sz w:val="20"/>
          <w:szCs w:val="20"/>
        </w:rPr>
        <w:t xml:space="preserve">Potential optimization on the DCI indication: [Samsung, Ericsson] </w:t>
      </w:r>
    </w:p>
    <w:p w14:paraId="43195EDD" w14:textId="77777777" w:rsidR="00AA4AC8" w:rsidRDefault="0082369C">
      <w:pPr>
        <w:pStyle w:val="afc"/>
        <w:spacing w:beforeLines="50" w:before="120" w:after="120"/>
        <w:ind w:left="980"/>
        <w:rPr>
          <w:rFonts w:ascii="Times New Roman" w:hAnsi="Times New Roman"/>
          <w:sz w:val="20"/>
          <w:szCs w:val="20"/>
        </w:rPr>
      </w:pPr>
      <w:r>
        <w:rPr>
          <w:rFonts w:ascii="Times New Roman" w:hAnsi="Times New Roman"/>
          <w:sz w:val="20"/>
          <w:szCs w:val="20"/>
        </w:rPr>
        <w:t>Regarding this option, proponent highlight that the redundancy of DCI format for scheduling of disabled HARQ process would make the system inefficient and bit field, e.g., “PDSCH-to-HARQ_feedback timing indicator”, “PUCCH resource indicator”, PRI, counter DAI can be removed, and If OOO is not applicable for disabled, e.g., K1 can be ignored.</w:t>
      </w:r>
    </w:p>
    <w:p w14:paraId="3F59173B" w14:textId="77777777" w:rsidR="00AA4AC8" w:rsidRDefault="0082369C">
      <w:pPr>
        <w:pStyle w:val="afc"/>
        <w:numPr>
          <w:ilvl w:val="0"/>
          <w:numId w:val="23"/>
        </w:numPr>
        <w:spacing w:beforeLines="50" w:before="120" w:after="120"/>
        <w:rPr>
          <w:rFonts w:ascii="Times New Roman" w:hAnsi="Times New Roman"/>
          <w:sz w:val="20"/>
          <w:szCs w:val="20"/>
        </w:rPr>
      </w:pPr>
      <w:r>
        <w:rPr>
          <w:rFonts w:ascii="Times New Roman" w:hAnsi="Times New Roman"/>
          <w:sz w:val="20"/>
          <w:szCs w:val="20"/>
        </w:rPr>
        <w:t xml:space="preserve">Keep the legacy </w:t>
      </w:r>
      <w:r w:rsidR="009858B0">
        <w:rPr>
          <w:rFonts w:ascii="Times New Roman" w:hAnsi="Times New Roman"/>
          <w:sz w:val="20"/>
          <w:szCs w:val="20"/>
        </w:rPr>
        <w:pgNum/>
      </w:r>
      <w:r w:rsidR="009858B0">
        <w:rPr>
          <w:rFonts w:ascii="Times New Roman" w:hAnsi="Times New Roman"/>
          <w:sz w:val="20"/>
          <w:szCs w:val="20"/>
        </w:rPr>
        <w:t>ehaviour</w:t>
      </w:r>
      <w:r>
        <w:rPr>
          <w:rFonts w:ascii="Times New Roman" w:hAnsi="Times New Roman"/>
          <w:sz w:val="20"/>
          <w:szCs w:val="20"/>
        </w:rPr>
        <w:t xml:space="preserve"> for DCI interpretation: [ZTE, CMCC]</w:t>
      </w:r>
    </w:p>
    <w:p w14:paraId="57DD0F32" w14:textId="77777777" w:rsidR="00AA4AC8" w:rsidRDefault="0082369C">
      <w:pPr>
        <w:pStyle w:val="afc"/>
        <w:spacing w:beforeLines="50" w:before="120" w:after="120"/>
        <w:ind w:left="980"/>
        <w:rPr>
          <w:rFonts w:ascii="Times New Roman" w:hAnsi="Times New Roman"/>
          <w:sz w:val="20"/>
          <w:szCs w:val="20"/>
        </w:rPr>
      </w:pPr>
      <w:r>
        <w:rPr>
          <w:rFonts w:ascii="Times New Roman" w:hAnsi="Times New Roman"/>
          <w:sz w:val="20"/>
          <w:szCs w:val="20"/>
        </w:rPr>
        <w:t xml:space="preserve">Regarding this option, company highlight that there is no need to introduce additional efforts to optimize the DCI overhead and it will lead to complicate the UE’s </w:t>
      </w:r>
      <w:r w:rsidR="009858B0">
        <w:rPr>
          <w:rFonts w:ascii="Times New Roman" w:hAnsi="Times New Roman"/>
          <w:sz w:val="20"/>
          <w:szCs w:val="20"/>
        </w:rPr>
        <w:pgNum/>
      </w:r>
      <w:r w:rsidR="009858B0">
        <w:rPr>
          <w:rFonts w:ascii="Times New Roman" w:hAnsi="Times New Roman"/>
          <w:sz w:val="20"/>
          <w:szCs w:val="20"/>
        </w:rPr>
        <w:t>ehaviour</w:t>
      </w:r>
      <w:r>
        <w:rPr>
          <w:rFonts w:ascii="Times New Roman" w:hAnsi="Times New Roman"/>
          <w:sz w:val="20"/>
          <w:szCs w:val="20"/>
        </w:rPr>
        <w:t xml:space="preserve"> on the DCI detection, e.g., blind detection to determine whether the DCI carries the feedback-enabled HARQ process or disabled. Moreover, For Type-1 codebook, even the DCI of PDSCH carrying the feedback-disabled HARQ process, based on current progress, the feedback is still needed regarding the NACK-only or true value once the DCIs carrying the feedback-disabled and feedback-enabled HARQ processes are detected by UE</w:t>
      </w:r>
    </w:p>
    <w:p w14:paraId="569CC60F" w14:textId="77777777" w:rsidR="00AA4AC8" w:rsidRDefault="0082369C">
      <w:pPr>
        <w:spacing w:beforeLines="50" w:before="120" w:after="120"/>
        <w:ind w:leftChars="100" w:left="200"/>
      </w:pPr>
      <w:r>
        <w:t>Moreover, [LG] highlights that virtual timeline should be considered for the OOO issue.</w:t>
      </w:r>
    </w:p>
    <w:p w14:paraId="5766FF92" w14:textId="77777777" w:rsidR="00AA4AC8" w:rsidRDefault="0082369C">
      <w:pPr>
        <w:spacing w:beforeLines="50" w:before="120" w:after="120"/>
        <w:ind w:leftChars="100" w:left="200"/>
      </w:pPr>
      <w:r>
        <w:t>From moderator’s perspective, the legacy OOO restriction is based on timeline for HARQ-ACK feedback. In NTN case, the Aspect-1 is also up to decision on the enhancement for codebook, e.g., whether the HARQ-ACK feedback is needed for feedback-disabled HARQ process in Type-1. The decision on the OOO issue can be done later once the remaining issues on codebook decision is concluded.</w:t>
      </w:r>
    </w:p>
    <w:p w14:paraId="256760E1" w14:textId="77777777" w:rsidR="00AA4AC8" w:rsidRDefault="0082369C">
      <w:pPr>
        <w:spacing w:beforeLines="50" w:before="120" w:after="120"/>
        <w:ind w:leftChars="100" w:left="200"/>
      </w:pPr>
      <w:r>
        <w:t xml:space="preserve">For the aspect-2, the point is the whether we need to introduce additional enhancement to optimize the DCI (e.g., reduce the DCI size or define new </w:t>
      </w:r>
      <w:r w:rsidR="009858B0">
        <w:pgNum/>
      </w:r>
      <w:r w:rsidR="009858B0">
        <w:t>ehaviour</w:t>
      </w:r>
      <w:r>
        <w:t xml:space="preserve"> on DCI interpretation) carrying the feedback-disabled HARQ process, especially when the feedback may not be needed. The benefits of this optimization may be marginal if HARQ feedback will be ignored for feedback-disabled HARQ process in limited cases. Although this aspect is also slightly related to the previous topic, companies are encouraged to share the view on the aspect -2 firstly with following proposal.</w:t>
      </w:r>
    </w:p>
    <w:p w14:paraId="09FC4D3E" w14:textId="77777777" w:rsidR="00AA4AC8" w:rsidRDefault="0082369C">
      <w:pPr>
        <w:snapToGrid w:val="0"/>
        <w:spacing w:beforeLines="50" w:before="120" w:afterLines="50" w:after="120"/>
        <w:ind w:left="200"/>
        <w:rPr>
          <w:color w:val="000000" w:themeColor="text1"/>
        </w:rPr>
      </w:pPr>
      <w:r>
        <w:rPr>
          <w:b/>
          <w:color w:val="000000" w:themeColor="text1"/>
          <w:highlight w:val="yellow"/>
        </w:rPr>
        <w:t xml:space="preserve">[Initial Proposal 3.1-1]: </w:t>
      </w:r>
      <w:r>
        <w:rPr>
          <w:highlight w:val="yellow"/>
        </w:rPr>
        <w:t>No optimization on bit-field related to the HARQ-ACK feedback for the DCI of PDSCH with feedback-disabled HARQ process.</w:t>
      </w:r>
    </w:p>
    <w:p w14:paraId="2F2BEB29" w14:textId="77777777" w:rsidR="00AA4AC8" w:rsidRDefault="0082369C">
      <w:pPr>
        <w:snapToGrid w:val="0"/>
        <w:spacing w:beforeLines="50" w:before="120" w:afterLines="50" w:after="120"/>
        <w:ind w:left="424"/>
      </w:pPr>
      <w:r>
        <w:rPr>
          <w:iCs/>
        </w:rPr>
        <w:t>Please provide your views below</w:t>
      </w:r>
      <w:r>
        <w:rPr>
          <w:rFonts w:hint="eastAsia"/>
          <w:iCs/>
        </w:rPr>
        <w:t>.</w:t>
      </w:r>
      <w:r>
        <w:rPr>
          <w:iCs/>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26E78E9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E9611B"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E3F2127" w14:textId="77777777" w:rsidR="00AA4AC8" w:rsidRDefault="0082369C">
            <w:pPr>
              <w:jc w:val="center"/>
              <w:rPr>
                <w:b/>
                <w:sz w:val="28"/>
              </w:rPr>
            </w:pPr>
            <w:r>
              <w:rPr>
                <w:b/>
                <w:sz w:val="22"/>
              </w:rPr>
              <w:t>Comments and Views</w:t>
            </w:r>
          </w:p>
        </w:tc>
      </w:tr>
      <w:tr w:rsidR="00AA4AC8" w14:paraId="5BFF8ED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550966"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55654CA" w14:textId="77777777" w:rsidR="00AA4AC8" w:rsidRDefault="0082369C">
            <w:pPr>
              <w:snapToGrid w:val="0"/>
            </w:pPr>
            <w:r>
              <w:t>Support</w:t>
            </w:r>
          </w:p>
        </w:tc>
      </w:tr>
      <w:tr w:rsidR="00AA4AC8" w14:paraId="0C95BCA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17B68D"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06C3475F"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52456F0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728ABC"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3041401D" w14:textId="77777777" w:rsidR="00AA4AC8" w:rsidRDefault="0082369C">
            <w:pPr>
              <w:snapToGrid w:val="0"/>
              <w:rPr>
                <w:rFonts w:eastAsiaTheme="minorEastAsia"/>
              </w:rPr>
            </w:pPr>
            <w:r>
              <w:rPr>
                <w:rFonts w:eastAsia="MS Mincho"/>
              </w:rPr>
              <w:t>Support</w:t>
            </w:r>
          </w:p>
        </w:tc>
      </w:tr>
      <w:tr w:rsidR="00AA4AC8" w14:paraId="63995E5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C0445E"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70B9D2C" w14:textId="77777777" w:rsidR="00AA4AC8" w:rsidRDefault="0082369C">
            <w:pPr>
              <w:snapToGrid w:val="0"/>
            </w:pPr>
            <w:r>
              <w:t>Support</w:t>
            </w:r>
          </w:p>
        </w:tc>
      </w:tr>
      <w:tr w:rsidR="00AA4AC8" w14:paraId="6AC36CA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C57379"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AEB9516" w14:textId="77777777" w:rsidR="00AA4AC8" w:rsidRDefault="0082369C">
            <w:pPr>
              <w:snapToGrid w:val="0"/>
              <w:rPr>
                <w:rFonts w:eastAsiaTheme="minorEastAsia"/>
              </w:rPr>
            </w:pPr>
            <w:r>
              <w:rPr>
                <w:rFonts w:eastAsiaTheme="minorEastAsia" w:hint="eastAsia"/>
              </w:rPr>
              <w:t>A</w:t>
            </w:r>
            <w:r>
              <w:rPr>
                <w:rFonts w:eastAsiaTheme="minorEastAsia"/>
              </w:rPr>
              <w:t>gree</w:t>
            </w:r>
          </w:p>
        </w:tc>
      </w:tr>
      <w:tr w:rsidR="00AA4AC8" w14:paraId="5A6D3C2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2CC9BD"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F444DE5"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170A110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A9AEF0"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27A8EFF3" w14:textId="77777777" w:rsidR="00AA4AC8" w:rsidRDefault="0082369C">
            <w:pPr>
              <w:snapToGrid w:val="0"/>
              <w:rPr>
                <w:rFonts w:eastAsiaTheme="minorEastAsia"/>
              </w:rPr>
            </w:pPr>
            <w:r>
              <w:rPr>
                <w:rFonts w:eastAsiaTheme="minorEastAsia"/>
              </w:rPr>
              <w:t>Why should a DCI format include fields that do not need to be used? If all HARQ processes have disabled HARQ-ACK, should the DCI include all fields relate to HARQ-ACK codebook generation and PUCCH transmission?</w:t>
            </w:r>
          </w:p>
        </w:tc>
      </w:tr>
      <w:tr w:rsidR="00AA4AC8" w14:paraId="1603BE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3CD60B" w14:textId="77777777" w:rsidR="00AA4AC8" w:rsidRDefault="0082369C">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50EC5849" w14:textId="77777777" w:rsidR="00AA4AC8" w:rsidRDefault="0082369C">
            <w:pPr>
              <w:snapToGrid w:val="0"/>
              <w:rPr>
                <w:rFonts w:eastAsiaTheme="minorEastAsia"/>
              </w:rPr>
            </w:pPr>
            <w:r>
              <w:rPr>
                <w:rFonts w:eastAsiaTheme="minorEastAsia"/>
              </w:rPr>
              <w:t>Support</w:t>
            </w:r>
          </w:p>
        </w:tc>
      </w:tr>
      <w:tr w:rsidR="00AA4AC8" w14:paraId="179CDDA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BA1B4E"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6B6385C" w14:textId="77777777" w:rsidR="00AA4AC8" w:rsidRDefault="0082369C">
            <w:pPr>
              <w:snapToGrid w:val="0"/>
              <w:rPr>
                <w:rFonts w:eastAsiaTheme="minorEastAsia"/>
              </w:rPr>
            </w:pPr>
            <w:r>
              <w:rPr>
                <w:rFonts w:eastAsiaTheme="minorEastAsia"/>
              </w:rPr>
              <w:t>Support</w:t>
            </w:r>
          </w:p>
        </w:tc>
      </w:tr>
      <w:tr w:rsidR="00AA4AC8" w14:paraId="1603BBF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F09E18" w14:textId="77777777" w:rsidR="00AA4AC8" w:rsidRDefault="0082369C">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64EDE8AA" w14:textId="77777777" w:rsidR="00AA4AC8" w:rsidRDefault="0082369C">
            <w:pPr>
              <w:snapToGrid w:val="0"/>
              <w:rPr>
                <w:rFonts w:eastAsiaTheme="minorEastAsia"/>
              </w:rPr>
            </w:pPr>
            <w:r>
              <w:rPr>
                <w:rFonts w:eastAsiaTheme="minorEastAsia"/>
              </w:rPr>
              <w:t>Support</w:t>
            </w:r>
          </w:p>
        </w:tc>
      </w:tr>
      <w:tr w:rsidR="00AA4AC8" w14:paraId="11B1253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4ED663"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3835DC4" w14:textId="77777777" w:rsidR="00AA4AC8" w:rsidRDefault="0082369C">
            <w:pPr>
              <w:snapToGrid w:val="0"/>
              <w:rPr>
                <w:rFonts w:eastAsiaTheme="minorEastAsia"/>
              </w:rPr>
            </w:pPr>
            <w:r>
              <w:rPr>
                <w:rFonts w:eastAsiaTheme="minorEastAsia"/>
              </w:rPr>
              <w:t xml:space="preserve">Support the FL proposal. </w:t>
            </w:r>
          </w:p>
        </w:tc>
      </w:tr>
      <w:tr w:rsidR="00AA4AC8" w14:paraId="361ACC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EC5503" w14:textId="77777777" w:rsidR="00AA4AC8" w:rsidRDefault="0082369C">
            <w:pPr>
              <w:jc w:val="center"/>
              <w:rPr>
                <w:rFonts w:eastAsiaTheme="minorEastAsia" w:cs="Arial"/>
              </w:rPr>
            </w:pPr>
            <w:r>
              <w:rPr>
                <w:rFonts w:eastAsiaTheme="minorEastAsia" w:cs="Arial"/>
              </w:rPr>
              <w:lastRenderedPageBreak/>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C86453C" w14:textId="77777777" w:rsidR="00AA4AC8" w:rsidRDefault="0082369C">
            <w:pPr>
              <w:snapToGrid w:val="0"/>
              <w:rPr>
                <w:rFonts w:eastAsiaTheme="minorEastAsia"/>
              </w:rPr>
            </w:pPr>
            <w:r>
              <w:rPr>
                <w:rFonts w:eastAsiaTheme="minorEastAsia"/>
              </w:rPr>
              <w:t>Support.</w:t>
            </w:r>
          </w:p>
        </w:tc>
      </w:tr>
      <w:tr w:rsidR="00AA4AC8" w14:paraId="088033C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33F6BD" w14:textId="77777777" w:rsidR="00AA4AC8" w:rsidRDefault="009858B0">
            <w:pPr>
              <w:jc w:val="center"/>
              <w:rPr>
                <w:rFonts w:eastAsiaTheme="minorEastAsia" w:cs="Arial"/>
              </w:rPr>
            </w:pPr>
            <w:r>
              <w:rPr>
                <w:rFonts w:eastAsiaTheme="minorEastAsia" w:cs="Arial"/>
              </w:rPr>
              <w:t>V</w:t>
            </w:r>
            <w:r w:rsidR="0082369C">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D8D8050"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2E29770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94E8A3F"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151A5487" w14:textId="77777777" w:rsidR="00AA4AC8" w:rsidRDefault="0082369C">
            <w:pPr>
              <w:snapToGrid w:val="0"/>
              <w:rPr>
                <w:rFonts w:eastAsiaTheme="minorEastAsia"/>
              </w:rPr>
            </w:pPr>
            <w:r>
              <w:rPr>
                <w:rFonts w:eastAsiaTheme="minorEastAsia"/>
              </w:rPr>
              <w:t>Support</w:t>
            </w:r>
          </w:p>
        </w:tc>
      </w:tr>
      <w:tr w:rsidR="00AA4AC8" w14:paraId="14DA24B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C7A23C"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0A779BE" w14:textId="77777777" w:rsidR="00AA4AC8" w:rsidRDefault="0082369C">
            <w:pPr>
              <w:snapToGrid w:val="0"/>
              <w:rPr>
                <w:rFonts w:eastAsiaTheme="minorEastAsia"/>
              </w:rPr>
            </w:pPr>
            <w:r>
              <w:rPr>
                <w:rFonts w:eastAsiaTheme="minorEastAsia"/>
              </w:rPr>
              <w:t xml:space="preserve">HARQ-ACK feedback related bit-fields are much redundant and would impact DCI efficiency much. On the other hand, further enhancements are needed to solve the increased PDCCH blind detection complexity if there bit fields are removed for disabled HARQ feedback processes. </w:t>
            </w:r>
          </w:p>
          <w:p w14:paraId="03F62C5E" w14:textId="77777777" w:rsidR="00AA4AC8" w:rsidRDefault="0082369C">
            <w:pPr>
              <w:snapToGrid w:val="0"/>
              <w:rPr>
                <w:rFonts w:eastAsiaTheme="minorEastAsia"/>
              </w:rPr>
            </w:pPr>
            <w:r>
              <w:rPr>
                <w:rFonts w:eastAsiaTheme="minorEastAsia"/>
              </w:rPr>
              <w:t>Considering the limited remaining time in this release and to make progress, we support the initial Proposal 3.1-1 in Rel.17.</w:t>
            </w:r>
          </w:p>
          <w:p w14:paraId="1610CA6C" w14:textId="77777777" w:rsidR="00AA4AC8" w:rsidRDefault="00AA4AC8">
            <w:pPr>
              <w:snapToGrid w:val="0"/>
              <w:rPr>
                <w:rFonts w:eastAsiaTheme="minorEastAsia"/>
              </w:rPr>
            </w:pPr>
          </w:p>
          <w:p w14:paraId="1D325486" w14:textId="77777777" w:rsidR="00AA4AC8" w:rsidRDefault="0082369C">
            <w:pPr>
              <w:snapToGrid w:val="0"/>
              <w:rPr>
                <w:rFonts w:eastAsiaTheme="minorEastAsia"/>
              </w:rPr>
            </w:pPr>
            <w:r>
              <w:rPr>
                <w:b/>
                <w:color w:val="000000" w:themeColor="text1"/>
                <w:highlight w:val="yellow"/>
              </w:rPr>
              <w:t xml:space="preserve">[Initial Proposal 3.1-1]: </w:t>
            </w:r>
            <w:r>
              <w:rPr>
                <w:highlight w:val="yellow"/>
              </w:rPr>
              <w:t>No optimization on bit-field related to the HARQ-ACK feedback for the DCI of PDSCH with feedback-disabled HARQ process</w:t>
            </w:r>
            <w:ins w:id="8" w:author="CAICT" w:date="2021-11-12T18:18:00Z">
              <w:r>
                <w:rPr>
                  <w:highlight w:val="yellow"/>
                </w:rPr>
                <w:t xml:space="preserve"> in Rel.17</w:t>
              </w:r>
            </w:ins>
            <w:r>
              <w:rPr>
                <w:highlight w:val="yellow"/>
              </w:rPr>
              <w:t>.</w:t>
            </w:r>
          </w:p>
          <w:p w14:paraId="2EE15081" w14:textId="77777777" w:rsidR="00AA4AC8" w:rsidRDefault="00AA4AC8">
            <w:pPr>
              <w:snapToGrid w:val="0"/>
              <w:rPr>
                <w:rFonts w:eastAsiaTheme="minorEastAsia"/>
              </w:rPr>
            </w:pPr>
          </w:p>
        </w:tc>
      </w:tr>
      <w:tr w:rsidR="00AA4AC8" w14:paraId="65585EC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BEDDF1" w14:textId="77777777" w:rsidR="00AA4AC8" w:rsidRDefault="0082369C">
            <w:pPr>
              <w:jc w:val="center"/>
              <w:rPr>
                <w:rFonts w:eastAsiaTheme="minorEastAsia"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8552425" w14:textId="77777777" w:rsidR="00AA4AC8" w:rsidRDefault="0082369C">
            <w:pPr>
              <w:snapToGrid w:val="0"/>
              <w:rPr>
                <w:rFonts w:eastAsiaTheme="minorEastAsia"/>
              </w:rPr>
            </w:pPr>
            <w:r>
              <w:t>It is unclear what this proposal means, what is optimization on bit-field? For example, consider K1 in DCI. What would UE do about it for a disabled HARQ?</w:t>
            </w:r>
          </w:p>
        </w:tc>
      </w:tr>
    </w:tbl>
    <w:p w14:paraId="0A37FE9D"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Updated based on the email discussion (Round-2)</w:t>
      </w:r>
    </w:p>
    <w:p w14:paraId="212F811D" w14:textId="77777777" w:rsidR="00AA4AC8" w:rsidRDefault="0082369C">
      <w:pPr>
        <w:rPr>
          <w:rFonts w:eastAsiaTheme="minorEastAsia"/>
        </w:rPr>
      </w:pPr>
      <w:r>
        <w:t xml:space="preserve">For this topic, it seems that there is clear majority’s support on the [Initial Proposal 3.1]. </w:t>
      </w:r>
    </w:p>
    <w:p w14:paraId="3678F23A" w14:textId="77777777" w:rsidR="00AA4AC8" w:rsidRDefault="0082369C">
      <w:r>
        <w:rPr>
          <w:rFonts w:eastAsiaTheme="minorEastAsia"/>
        </w:rPr>
        <w:t xml:space="preserve">Regarding the concerns from </w:t>
      </w:r>
      <w:r>
        <w:t>[Samsung], in general, the details to further optimize the DCI are still pending with different options, e.g., directly remove it from DCI or keep the DCI size unchanged but ignored by the UE. Since it’s the last meeting for Rel-17, it may not be proper to introduce additional solutions. Moreover, according to the discussion in Codebook part, at least for Type-1, feedback is still expected (regardless of true value or artificial value) for certain case, the optimization on DCI will not be applicable for all case with feedback-disabled DCI.</w:t>
      </w:r>
    </w:p>
    <w:p w14:paraId="58F179DA" w14:textId="77777777" w:rsidR="00AA4AC8" w:rsidRDefault="0082369C">
      <w:r>
        <w:t xml:space="preserve">For the question from [Ericsson], the “optimization” in the bullet refers to all additional </w:t>
      </w:r>
      <w:r w:rsidR="009858B0">
        <w:pgNum/>
      </w:r>
      <w:r w:rsidR="009858B0">
        <w:t>ehaviour</w:t>
      </w:r>
      <w:r>
        <w:t xml:space="preserve"> compared to the legacy UE’s </w:t>
      </w:r>
      <w:r w:rsidR="009858B0">
        <w:pgNum/>
      </w:r>
      <w:r w:rsidR="009858B0">
        <w:t>ehaviour</w:t>
      </w:r>
      <w:r>
        <w:t xml:space="preserve"> in Rel-16. For the case that disabled HARQ process is used, the UE is still expected to interpret the field as legacy, and whether HARQ-ACK will be reported will be up to the decision on corresponding codebook. </w:t>
      </w:r>
    </w:p>
    <w:p w14:paraId="42DC97C8" w14:textId="77777777" w:rsidR="00AA4AC8" w:rsidRDefault="0082369C">
      <w:r>
        <w:t xml:space="preserve">Then, with consideration on the suggestion from CAICT and clarification for Ericsson, the updated proposal is proposed </w:t>
      </w:r>
    </w:p>
    <w:p w14:paraId="23B7A99A" w14:textId="77777777" w:rsidR="00AA4AC8" w:rsidRDefault="0082369C">
      <w:pPr>
        <w:pStyle w:val="afc"/>
        <w:shd w:val="clear" w:color="auto" w:fill="FFFFFF"/>
        <w:snapToGrid w:val="0"/>
        <w:spacing w:beforeLines="50" w:before="120" w:afterLines="50" w:after="120"/>
        <w:ind w:left="0"/>
        <w:rPr>
          <w:rFonts w:ascii="Times New Roman" w:hAnsi="Times New Roman"/>
          <w:b/>
          <w:color w:val="000000" w:themeColor="text1"/>
          <w:sz w:val="21"/>
          <w:szCs w:val="20"/>
          <w:highlight w:val="yellow"/>
        </w:rPr>
      </w:pPr>
      <w:r>
        <w:rPr>
          <w:rFonts w:ascii="Times New Roman" w:hAnsi="Times New Roman"/>
          <w:b/>
          <w:color w:val="000000" w:themeColor="text1"/>
          <w:sz w:val="21"/>
          <w:szCs w:val="20"/>
          <w:highlight w:val="yellow"/>
        </w:rPr>
        <w:t>[Initial Proposal 3.2]</w:t>
      </w:r>
    </w:p>
    <w:p w14:paraId="57F23988" w14:textId="77777777" w:rsidR="00AA4AC8" w:rsidRDefault="0082369C">
      <w:pPr>
        <w:pStyle w:val="afc"/>
        <w:snapToGrid w:val="0"/>
        <w:ind w:left="0"/>
        <w:rPr>
          <w:rFonts w:ascii="Times New Roman" w:hAnsi="Times New Roman"/>
          <w:color w:val="000000"/>
          <w:sz w:val="21"/>
          <w:szCs w:val="20"/>
          <w:highlight w:val="yellow"/>
          <w:shd w:val="clear" w:color="auto" w:fill="FFFF00"/>
        </w:rPr>
      </w:pPr>
      <w:r>
        <w:rPr>
          <w:rFonts w:ascii="Times New Roman" w:hAnsi="Times New Roman"/>
          <w:color w:val="000000"/>
          <w:sz w:val="21"/>
          <w:szCs w:val="20"/>
          <w:highlight w:val="yellow"/>
          <w:shd w:val="clear" w:color="auto" w:fill="FFFF00"/>
        </w:rPr>
        <w:t>The bit-field</w:t>
      </w:r>
      <w:r>
        <w:rPr>
          <w:rFonts w:ascii="Times New Roman" w:hAnsi="Times New Roman"/>
          <w:color w:val="FF0000"/>
          <w:sz w:val="21"/>
          <w:szCs w:val="20"/>
          <w:highlight w:val="yellow"/>
          <w:shd w:val="clear" w:color="auto" w:fill="FFFF00"/>
        </w:rPr>
        <w:t>s</w:t>
      </w:r>
      <w:r>
        <w:rPr>
          <w:rStyle w:val="apple-converted-space"/>
          <w:rFonts w:ascii="Times New Roman" w:hAnsi="Times New Roman"/>
          <w:color w:val="000000"/>
          <w:sz w:val="21"/>
          <w:szCs w:val="20"/>
          <w:highlight w:val="yellow"/>
          <w:shd w:val="clear" w:color="auto" w:fill="FFFF00"/>
        </w:rPr>
        <w:t> </w:t>
      </w:r>
      <w:r>
        <w:rPr>
          <w:rFonts w:ascii="Times New Roman" w:hAnsi="Times New Roman"/>
          <w:color w:val="000000"/>
          <w:sz w:val="21"/>
          <w:szCs w:val="20"/>
          <w:highlight w:val="yellow"/>
          <w:shd w:val="clear" w:color="auto" w:fill="FFFF00"/>
        </w:rPr>
        <w:t xml:space="preserve">related to the HARQ-ACK feedback </w:t>
      </w:r>
      <w:r>
        <w:rPr>
          <w:rFonts w:ascii="Times New Roman" w:hAnsi="Times New Roman"/>
          <w:color w:val="FF0000"/>
          <w:sz w:val="21"/>
          <w:szCs w:val="20"/>
          <w:highlight w:val="yellow"/>
          <w:shd w:val="clear" w:color="auto" w:fill="FFFF00"/>
        </w:rPr>
        <w:t>(i.e., PRI, PUSCH-to-HARQ_feedback timing, DAI)</w:t>
      </w:r>
      <w:r>
        <w:rPr>
          <w:rFonts w:ascii="Times New Roman" w:hAnsi="Times New Roman"/>
          <w:color w:val="000000"/>
          <w:sz w:val="21"/>
          <w:szCs w:val="20"/>
          <w:highlight w:val="yellow"/>
          <w:shd w:val="clear" w:color="auto" w:fill="FFFF00"/>
        </w:rPr>
        <w:t xml:space="preserve"> are</w:t>
      </w:r>
      <w:r>
        <w:rPr>
          <w:rStyle w:val="apple-converted-space"/>
          <w:rFonts w:ascii="Times New Roman" w:hAnsi="Times New Roman"/>
          <w:color w:val="FF0000"/>
          <w:sz w:val="21"/>
          <w:szCs w:val="20"/>
          <w:highlight w:val="yellow"/>
          <w:shd w:val="clear" w:color="auto" w:fill="FFFF00"/>
        </w:rPr>
        <w:t> </w:t>
      </w:r>
      <w:r>
        <w:rPr>
          <w:rFonts w:ascii="Times New Roman" w:hAnsi="Times New Roman"/>
          <w:color w:val="FF0000"/>
          <w:sz w:val="21"/>
          <w:szCs w:val="20"/>
          <w:highlight w:val="yellow"/>
          <w:shd w:val="clear" w:color="auto" w:fill="FFFF00"/>
        </w:rPr>
        <w:t>unchanged</w:t>
      </w:r>
      <w:r>
        <w:rPr>
          <w:rStyle w:val="apple-converted-space"/>
          <w:rFonts w:ascii="Times New Roman" w:hAnsi="Times New Roman"/>
          <w:color w:val="000000"/>
          <w:sz w:val="21"/>
          <w:szCs w:val="20"/>
          <w:highlight w:val="yellow"/>
          <w:shd w:val="clear" w:color="auto" w:fill="FFFF00"/>
        </w:rPr>
        <w:t> </w:t>
      </w:r>
      <w:r>
        <w:rPr>
          <w:rFonts w:ascii="Times New Roman" w:hAnsi="Times New Roman"/>
          <w:color w:val="000000"/>
          <w:sz w:val="21"/>
          <w:szCs w:val="20"/>
          <w:highlight w:val="yellow"/>
          <w:shd w:val="clear" w:color="auto" w:fill="FFFF00"/>
        </w:rPr>
        <w:t>for the DCI of PDSCH with feedback-disabled HARQ process in Rel.17</w:t>
      </w:r>
      <w:r>
        <w:rPr>
          <w:rStyle w:val="apple-converted-space"/>
          <w:rFonts w:ascii="Times New Roman" w:hAnsi="Times New Roman"/>
          <w:color w:val="000000"/>
          <w:sz w:val="21"/>
          <w:szCs w:val="20"/>
          <w:highlight w:val="yellow"/>
          <w:shd w:val="clear" w:color="auto" w:fill="FFFF00"/>
        </w:rPr>
        <w:t> </w:t>
      </w:r>
      <w:r>
        <w:rPr>
          <w:rFonts w:ascii="Times New Roman" w:hAnsi="Times New Roman"/>
          <w:color w:val="FF0000"/>
          <w:sz w:val="21"/>
          <w:szCs w:val="20"/>
          <w:highlight w:val="yellow"/>
          <w:shd w:val="clear" w:color="auto" w:fill="FFFF00"/>
        </w:rPr>
        <w:t>without new interpretation from UE</w:t>
      </w:r>
      <w:r>
        <w:rPr>
          <w:rFonts w:ascii="Times New Roman" w:hAnsi="Times New Roman"/>
          <w:color w:val="000000"/>
          <w:sz w:val="21"/>
          <w:szCs w:val="20"/>
          <w:highlight w:val="yellow"/>
          <w:shd w:val="clear" w:color="auto" w:fill="FFFF00"/>
        </w:rPr>
        <w:t>.</w:t>
      </w:r>
    </w:p>
    <w:p w14:paraId="02960647" w14:textId="77777777" w:rsidR="00AA4AC8" w:rsidRDefault="0082369C">
      <w:pPr>
        <w:pStyle w:val="afc"/>
        <w:snapToGrid w:val="0"/>
        <w:ind w:left="0"/>
        <w:rPr>
          <w:rFonts w:ascii="Times New Roman" w:eastAsiaTheme="minorEastAsia" w:hAnsi="Times New Roman"/>
          <w:color w:val="FF0000"/>
          <w:sz w:val="21"/>
          <w:szCs w:val="20"/>
        </w:rPr>
      </w:pPr>
      <w:r>
        <w:rPr>
          <w:rFonts w:ascii="Times New Roman" w:hAnsi="Times New Roman"/>
          <w:color w:val="FF0000"/>
          <w:sz w:val="21"/>
          <w:szCs w:val="20"/>
          <w:highlight w:val="yellow"/>
          <w:shd w:val="clear" w:color="auto" w:fill="FFFF00"/>
        </w:rPr>
        <w:t>Note: The interpretation regarding the DAI for Type-2 codebook is up to the progress of codebook design.</w:t>
      </w:r>
    </w:p>
    <w:p w14:paraId="507B8C89" w14:textId="77777777" w:rsidR="00AA4AC8" w:rsidRDefault="0082369C">
      <w:pPr>
        <w:snapToGrid w:val="0"/>
        <w:spacing w:beforeLines="50" w:before="120" w:afterLines="50" w:after="120"/>
        <w:ind w:left="424"/>
      </w:pPr>
      <w:r>
        <w:rPr>
          <w:iCs/>
        </w:rPr>
        <w:t>Please provide your views below</w:t>
      </w:r>
      <w:r>
        <w:rPr>
          <w:rFonts w:hint="eastAsia"/>
          <w:iCs/>
        </w:rPr>
        <w:t>.</w:t>
      </w:r>
      <w:r>
        <w:rPr>
          <w:iCs/>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3FF099E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CB4D33"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485D5772" w14:textId="77777777" w:rsidR="00AA4AC8" w:rsidRDefault="0082369C">
            <w:pPr>
              <w:jc w:val="center"/>
              <w:rPr>
                <w:b/>
                <w:sz w:val="28"/>
              </w:rPr>
            </w:pPr>
            <w:r>
              <w:rPr>
                <w:b/>
                <w:sz w:val="22"/>
              </w:rPr>
              <w:t>Comments and Views</w:t>
            </w:r>
          </w:p>
        </w:tc>
      </w:tr>
      <w:tr w:rsidR="00AA4AC8" w14:paraId="765B38D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4D7642"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2BE8A10" w14:textId="77777777" w:rsidR="00AA4AC8" w:rsidRDefault="0082369C">
            <w:pPr>
              <w:snapToGrid w:val="0"/>
            </w:pPr>
            <w:r>
              <w:t xml:space="preserve">Since we have never defined the interpretation on these DCI fields for feedback-disabled HARQ process, it is unclear to use “new interpretation”. </w:t>
            </w:r>
          </w:p>
          <w:p w14:paraId="32C33140" w14:textId="77777777" w:rsidR="00AA4AC8" w:rsidRDefault="0082369C">
            <w:pPr>
              <w:snapToGrid w:val="0"/>
            </w:pPr>
            <w:r>
              <w:t xml:space="preserve">Instead, the proposal is to reuse the interpretation from DCI fields for feedback-enabled HARQ process for feedback-disabled HARQ process. We may modify the proposal to </w:t>
            </w:r>
          </w:p>
          <w:p w14:paraId="054528E3" w14:textId="77777777" w:rsidR="00AA4AC8" w:rsidRDefault="0082369C">
            <w:pPr>
              <w:pStyle w:val="afc"/>
              <w:snapToGrid w:val="0"/>
              <w:ind w:left="0"/>
              <w:rPr>
                <w:rFonts w:ascii="Times New Roman" w:hAnsi="Times New Roman"/>
                <w:color w:val="000000"/>
                <w:sz w:val="21"/>
                <w:szCs w:val="20"/>
                <w:shd w:val="clear" w:color="auto" w:fill="FFFF00"/>
              </w:rPr>
            </w:pPr>
            <w:r>
              <w:rPr>
                <w:rFonts w:ascii="Times New Roman" w:hAnsi="Times New Roman"/>
                <w:color w:val="000000"/>
                <w:sz w:val="21"/>
                <w:szCs w:val="20"/>
                <w:shd w:val="clear" w:color="auto" w:fill="FFFF00"/>
              </w:rPr>
              <w:t>The bit-field</w:t>
            </w:r>
            <w:r>
              <w:rPr>
                <w:rFonts w:ascii="Times New Roman" w:hAnsi="Times New Roman"/>
                <w:color w:val="FF0000"/>
                <w:sz w:val="21"/>
                <w:szCs w:val="20"/>
                <w:shd w:val="clear" w:color="auto" w:fill="FFFF00"/>
              </w:rPr>
              <w:t>s</w:t>
            </w:r>
            <w:r>
              <w:rPr>
                <w:rStyle w:val="apple-converted-space"/>
                <w:rFonts w:ascii="Times New Roman" w:hAnsi="Times New Roman"/>
                <w:color w:val="000000"/>
                <w:sz w:val="21"/>
                <w:szCs w:val="20"/>
                <w:shd w:val="clear" w:color="auto" w:fill="FFFF00"/>
              </w:rPr>
              <w:t> </w:t>
            </w:r>
            <w:r>
              <w:rPr>
                <w:rFonts w:ascii="Times New Roman" w:hAnsi="Times New Roman"/>
                <w:color w:val="000000"/>
                <w:sz w:val="21"/>
                <w:szCs w:val="20"/>
                <w:shd w:val="clear" w:color="auto" w:fill="FFFF00"/>
              </w:rPr>
              <w:t xml:space="preserve">related to the HARQ-ACK feedback </w:t>
            </w:r>
            <w:r>
              <w:rPr>
                <w:rFonts w:ascii="Times New Roman" w:hAnsi="Times New Roman"/>
                <w:color w:val="FF0000"/>
                <w:sz w:val="21"/>
                <w:szCs w:val="20"/>
                <w:shd w:val="clear" w:color="auto" w:fill="FFFF00"/>
              </w:rPr>
              <w:t>(i.e., PRI, PUSCH-to-HARQ_feedback timing, DAI)</w:t>
            </w:r>
            <w:r>
              <w:rPr>
                <w:rFonts w:ascii="Times New Roman" w:hAnsi="Times New Roman"/>
                <w:color w:val="000000"/>
                <w:sz w:val="21"/>
                <w:szCs w:val="20"/>
                <w:shd w:val="clear" w:color="auto" w:fill="FFFF00"/>
              </w:rPr>
              <w:t xml:space="preserve"> are</w:t>
            </w:r>
            <w:r>
              <w:rPr>
                <w:rStyle w:val="apple-converted-space"/>
                <w:rFonts w:ascii="Times New Roman" w:hAnsi="Times New Roman"/>
                <w:color w:val="FF0000"/>
                <w:sz w:val="21"/>
                <w:szCs w:val="20"/>
                <w:shd w:val="clear" w:color="auto" w:fill="FFFF00"/>
              </w:rPr>
              <w:t> </w:t>
            </w:r>
            <w:r>
              <w:rPr>
                <w:rFonts w:ascii="Times New Roman" w:hAnsi="Times New Roman"/>
                <w:color w:val="FF0000"/>
                <w:sz w:val="21"/>
                <w:szCs w:val="20"/>
                <w:shd w:val="clear" w:color="auto" w:fill="FFFF00"/>
              </w:rPr>
              <w:t>unchanged</w:t>
            </w:r>
            <w:r>
              <w:rPr>
                <w:rStyle w:val="apple-converted-space"/>
                <w:rFonts w:ascii="Times New Roman" w:hAnsi="Times New Roman"/>
                <w:color w:val="000000"/>
                <w:sz w:val="21"/>
                <w:szCs w:val="20"/>
                <w:shd w:val="clear" w:color="auto" w:fill="FFFF00"/>
              </w:rPr>
              <w:t> </w:t>
            </w:r>
            <w:r>
              <w:rPr>
                <w:rFonts w:ascii="Times New Roman" w:hAnsi="Times New Roman"/>
                <w:color w:val="000000"/>
                <w:sz w:val="21"/>
                <w:szCs w:val="20"/>
                <w:shd w:val="clear" w:color="auto" w:fill="FFFF00"/>
              </w:rPr>
              <w:t xml:space="preserve">for the DCI of PDSCH with </w:t>
            </w:r>
            <w:r>
              <w:rPr>
                <w:rFonts w:ascii="Times New Roman" w:hAnsi="Times New Roman"/>
                <w:color w:val="000000"/>
                <w:sz w:val="21"/>
                <w:szCs w:val="20"/>
                <w:shd w:val="clear" w:color="auto" w:fill="FFFF00"/>
              </w:rPr>
              <w:lastRenderedPageBreak/>
              <w:t>feedback-disabled HARQ process in Rel.17</w:t>
            </w:r>
            <w:r>
              <w:rPr>
                <w:rStyle w:val="apple-converted-space"/>
                <w:rFonts w:ascii="Times New Roman" w:hAnsi="Times New Roman"/>
                <w:color w:val="000000"/>
                <w:sz w:val="21"/>
                <w:szCs w:val="20"/>
                <w:shd w:val="clear" w:color="auto" w:fill="FFFF00"/>
              </w:rPr>
              <w:t> </w:t>
            </w:r>
            <w:r>
              <w:rPr>
                <w:rStyle w:val="apple-converted-space"/>
                <w:rFonts w:ascii="Times New Roman" w:hAnsi="Times New Roman"/>
                <w:color w:val="00B050"/>
                <w:sz w:val="21"/>
                <w:szCs w:val="20"/>
                <w:shd w:val="clear" w:color="auto" w:fill="FFFF00"/>
              </w:rPr>
              <w:t>w</w:t>
            </w:r>
            <w:r>
              <w:rPr>
                <w:rStyle w:val="apple-converted-space"/>
                <w:color w:val="00B050"/>
                <w:sz w:val="21"/>
                <w:shd w:val="clear" w:color="auto" w:fill="FFFF00"/>
              </w:rPr>
              <w:t xml:space="preserve">ith the same interpretation from UE as for feedback-enabled HARQ process </w:t>
            </w:r>
            <w:r>
              <w:rPr>
                <w:rFonts w:ascii="Times New Roman" w:hAnsi="Times New Roman"/>
                <w:strike/>
                <w:color w:val="00B050"/>
                <w:sz w:val="21"/>
                <w:szCs w:val="20"/>
                <w:shd w:val="clear" w:color="auto" w:fill="FFFF00"/>
              </w:rPr>
              <w:t>without new interpretation from UE</w:t>
            </w:r>
            <w:r>
              <w:rPr>
                <w:rFonts w:ascii="Times New Roman" w:hAnsi="Times New Roman"/>
                <w:color w:val="000000"/>
                <w:sz w:val="21"/>
                <w:szCs w:val="20"/>
                <w:shd w:val="clear" w:color="auto" w:fill="FFFF00"/>
              </w:rPr>
              <w:t>.</w:t>
            </w:r>
          </w:p>
          <w:p w14:paraId="493E4EA0" w14:textId="77777777" w:rsidR="00AA4AC8" w:rsidRDefault="0082369C">
            <w:pPr>
              <w:pStyle w:val="afc"/>
              <w:snapToGrid w:val="0"/>
              <w:ind w:left="0"/>
              <w:rPr>
                <w:rFonts w:ascii="Times New Roman" w:eastAsiaTheme="minorEastAsia" w:hAnsi="Times New Roman"/>
                <w:color w:val="FF0000"/>
                <w:sz w:val="21"/>
                <w:szCs w:val="20"/>
              </w:rPr>
            </w:pPr>
            <w:r>
              <w:rPr>
                <w:rFonts w:ascii="Times New Roman" w:hAnsi="Times New Roman"/>
                <w:color w:val="FF0000"/>
                <w:sz w:val="21"/>
                <w:szCs w:val="20"/>
                <w:shd w:val="clear" w:color="auto" w:fill="FFFF00"/>
              </w:rPr>
              <w:t>Note: The interpretation regarding the DAI for Type-2 codebook is up to the progress of codebook design.</w:t>
            </w:r>
          </w:p>
        </w:tc>
      </w:tr>
      <w:tr w:rsidR="00AA4AC8" w14:paraId="6651C6A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A1C0AB" w14:textId="77777777" w:rsidR="00AA4AC8" w:rsidRDefault="0082369C">
            <w:pPr>
              <w:jc w:val="center"/>
              <w:rPr>
                <w:rFonts w:cs="Arial"/>
              </w:rPr>
            </w:pPr>
            <w:r>
              <w:rPr>
                <w:rFonts w:cs="Arial"/>
              </w:rPr>
              <w:lastRenderedPageBreak/>
              <w:t>Xiaomi</w:t>
            </w:r>
          </w:p>
        </w:tc>
        <w:tc>
          <w:tcPr>
            <w:tcW w:w="6840" w:type="dxa"/>
            <w:tcBorders>
              <w:top w:val="single" w:sz="4" w:space="0" w:color="auto"/>
              <w:left w:val="single" w:sz="4" w:space="0" w:color="auto"/>
              <w:bottom w:val="single" w:sz="4" w:space="0" w:color="auto"/>
              <w:right w:val="single" w:sz="4" w:space="0" w:color="auto"/>
            </w:tcBorders>
            <w:vAlign w:val="center"/>
          </w:tcPr>
          <w:p w14:paraId="6C692B1F" w14:textId="77777777" w:rsidR="00AA4AC8" w:rsidRDefault="0082369C">
            <w:pPr>
              <w:snapToGrid w:val="0"/>
            </w:pPr>
            <w:r>
              <w:t>Support.</w:t>
            </w:r>
          </w:p>
          <w:p w14:paraId="19A83DA6" w14:textId="77777777" w:rsidR="00AA4AC8" w:rsidRDefault="0082369C">
            <w:pPr>
              <w:snapToGrid w:val="0"/>
            </w:pPr>
            <w:r>
              <w:t xml:space="preserve">RAN1 can make a conclusion based on </w:t>
            </w:r>
            <w:r>
              <w:rPr>
                <w:b/>
                <w:color w:val="000000" w:themeColor="text1"/>
                <w:sz w:val="21"/>
                <w:highlight w:val="yellow"/>
              </w:rPr>
              <w:t>Initial Proposal 3.2</w:t>
            </w:r>
            <w:r>
              <w:rPr>
                <w:b/>
                <w:color w:val="000000" w:themeColor="text1"/>
                <w:sz w:val="21"/>
              </w:rPr>
              <w:t>.</w:t>
            </w:r>
          </w:p>
        </w:tc>
      </w:tr>
      <w:tr w:rsidR="00AA4AC8" w14:paraId="5D73864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A3F8541" w14:textId="77777777" w:rsidR="00AA4AC8" w:rsidRDefault="0082369C">
            <w:pPr>
              <w:jc w:val="center"/>
              <w:rPr>
                <w:rFonts w:cs="Arial"/>
              </w:rPr>
            </w:pPr>
            <w:r>
              <w:rPr>
                <w:rFonts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21E8077A" w14:textId="77777777" w:rsidR="00AA4AC8" w:rsidRDefault="0082369C">
            <w:pPr>
              <w:snapToGrid w:val="0"/>
            </w:pPr>
            <w:r>
              <w:t>Support.</w:t>
            </w:r>
          </w:p>
        </w:tc>
      </w:tr>
      <w:tr w:rsidR="00AA4AC8" w14:paraId="7DCC0C2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F2F2B0" w14:textId="77777777" w:rsidR="00AA4AC8" w:rsidRDefault="009858B0">
            <w:pPr>
              <w:jc w:val="center"/>
              <w:rPr>
                <w:rFonts w:eastAsiaTheme="minorEastAsia" w:cs="Arial"/>
              </w:rPr>
            </w:pPr>
            <w:r>
              <w:rPr>
                <w:rFonts w:eastAsiaTheme="minorEastAsia" w:cs="Arial"/>
              </w:rPr>
              <w:t>V</w:t>
            </w:r>
            <w:r w:rsidR="0082369C">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A5519D1"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640BB11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FB8BAA"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2829BB85"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3C51AEF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9575AE"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3D06224" w14:textId="77777777" w:rsidR="00AA4AC8" w:rsidRDefault="0082369C">
            <w:pPr>
              <w:snapToGrid w:val="0"/>
              <w:rPr>
                <w:rFonts w:eastAsiaTheme="minorEastAsia"/>
              </w:rPr>
            </w:pPr>
            <w:r>
              <w:rPr>
                <w:rFonts w:eastAsia="MS Mincho"/>
              </w:rPr>
              <w:t xml:space="preserve">Support. Apple’s modification is also fine. </w:t>
            </w:r>
          </w:p>
        </w:tc>
      </w:tr>
      <w:tr w:rsidR="00AA4AC8" w14:paraId="0BFF9EA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4B1C978" w14:textId="77777777" w:rsidR="00AA4AC8" w:rsidRDefault="0082369C">
            <w:pPr>
              <w:jc w:val="center"/>
              <w:rPr>
                <w:rFonts w:eastAsia="MS Mincho"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38AB99D" w14:textId="77777777" w:rsidR="00AA4AC8" w:rsidRDefault="0082369C">
            <w:pPr>
              <w:snapToGrid w:val="0"/>
              <w:rPr>
                <w:rFonts w:eastAsia="MS Mincho"/>
              </w:rPr>
            </w:pPr>
            <w:r>
              <w:rPr>
                <w:rFonts w:eastAsiaTheme="minorEastAsia" w:hint="eastAsia"/>
              </w:rPr>
              <w:t>S</w:t>
            </w:r>
            <w:r>
              <w:rPr>
                <w:rFonts w:eastAsiaTheme="minorEastAsia"/>
              </w:rPr>
              <w:t>upport</w:t>
            </w:r>
          </w:p>
        </w:tc>
      </w:tr>
      <w:tr w:rsidR="00AA4AC8" w14:paraId="48C2D0B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75D4EA"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B75FEF6" w14:textId="77777777" w:rsidR="00AA4AC8" w:rsidRDefault="0082369C">
            <w:pPr>
              <w:snapToGrid w:val="0"/>
              <w:rPr>
                <w:rFonts w:eastAsiaTheme="minorEastAsia"/>
              </w:rPr>
            </w:pPr>
            <w:r>
              <w:rPr>
                <w:rFonts w:eastAsiaTheme="minorEastAsia"/>
              </w:rPr>
              <w:t>Support the proposal – OK with Apple’s update (no need to spend more time on the alternative of removing those fields when the DCI is associated with a HARQ disabled process).</w:t>
            </w:r>
          </w:p>
        </w:tc>
      </w:tr>
      <w:tr w:rsidR="00AA4AC8" w14:paraId="1F6A7D4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CD38BE"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006C970" w14:textId="77777777" w:rsidR="00AA4AC8" w:rsidRDefault="0082369C">
            <w:pPr>
              <w:snapToGrid w:val="0"/>
              <w:rPr>
                <w:rFonts w:eastAsiaTheme="minorEastAsia"/>
              </w:rPr>
            </w:pPr>
            <w:r>
              <w:rPr>
                <w:rFonts w:eastAsiaTheme="minorEastAsia"/>
              </w:rPr>
              <w:t>Support, and prefer to take Apple’s updates.</w:t>
            </w:r>
          </w:p>
        </w:tc>
      </w:tr>
      <w:tr w:rsidR="00AA4AC8" w14:paraId="6C536F5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5480A8"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6BD8842C" w14:textId="77777777" w:rsidR="00AA4AC8" w:rsidRDefault="0082369C">
            <w:pPr>
              <w:snapToGrid w:val="0"/>
              <w:rPr>
                <w:rFonts w:eastAsiaTheme="minorEastAsia"/>
              </w:rPr>
            </w:pPr>
            <w:r>
              <w:rPr>
                <w:rFonts w:eastAsiaTheme="minorEastAsia" w:hint="eastAsia"/>
              </w:rPr>
              <w:t>O</w:t>
            </w:r>
            <w:r>
              <w:rPr>
                <w:rFonts w:eastAsiaTheme="minorEastAsia"/>
              </w:rPr>
              <w:t>K with Apple’s modification.</w:t>
            </w:r>
          </w:p>
        </w:tc>
      </w:tr>
      <w:tr w:rsidR="00AA4AC8" w14:paraId="6BAF8E1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E3310C" w14:textId="77777777" w:rsidR="00AA4AC8" w:rsidRDefault="0082369C">
            <w:pPr>
              <w:jc w:val="center"/>
              <w:rPr>
                <w:rFonts w:eastAsiaTheme="minorEastAsia" w:cs="Arial"/>
              </w:rPr>
            </w:pPr>
            <w:r>
              <w:rPr>
                <w:rFonts w:eastAsiaTheme="minorEastAsia" w:cs="Arial"/>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41DD8E79" w14:textId="77777777" w:rsidR="00AA4AC8" w:rsidRDefault="0082369C">
            <w:pPr>
              <w:snapToGrid w:val="0"/>
              <w:rPr>
                <w:rFonts w:eastAsiaTheme="minorEastAsia"/>
              </w:rPr>
            </w:pPr>
            <w:r>
              <w:rPr>
                <w:rFonts w:eastAsia="Malgun Gothic"/>
                <w:lang w:eastAsia="ko-KR"/>
              </w:rPr>
              <w:t>Support with Apple’s modification.</w:t>
            </w:r>
          </w:p>
        </w:tc>
      </w:tr>
      <w:tr w:rsidR="00AA4AC8" w14:paraId="340DFA8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EC371E"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90B5D7B" w14:textId="77777777" w:rsidR="00AA4AC8" w:rsidRDefault="0082369C">
            <w:pPr>
              <w:snapToGrid w:val="0"/>
              <w:rPr>
                <w:rFonts w:eastAsia="Malgun Gothic"/>
                <w:lang w:eastAsia="ko-KR"/>
              </w:rPr>
            </w:pPr>
            <w:r>
              <w:rPr>
                <w:rFonts w:eastAsiaTheme="minorEastAsia"/>
              </w:rPr>
              <w:t>Support. Also the clarification by Apple on “without new interpretation” looks ok, so the proposed modification is fine.</w:t>
            </w:r>
          </w:p>
        </w:tc>
      </w:tr>
      <w:tr w:rsidR="00AA4AC8" w14:paraId="1D1214F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509B0F" w14:textId="77777777" w:rsidR="00AA4AC8" w:rsidRDefault="0082369C">
            <w:pPr>
              <w:jc w:val="center"/>
              <w:rPr>
                <w:rFonts w:eastAsiaTheme="minorEastAsia" w:cs="Arial"/>
              </w:rPr>
            </w:pPr>
            <w:r>
              <w:rPr>
                <w:rFonts w:eastAsiaTheme="minorEastAsia" w:cs="Arial" w:hint="eastAsia"/>
                <w:lang w:val="en-US"/>
              </w:rPr>
              <w:t>Baicells</w:t>
            </w:r>
          </w:p>
        </w:tc>
        <w:tc>
          <w:tcPr>
            <w:tcW w:w="6840" w:type="dxa"/>
            <w:tcBorders>
              <w:top w:val="single" w:sz="4" w:space="0" w:color="auto"/>
              <w:left w:val="single" w:sz="4" w:space="0" w:color="auto"/>
              <w:bottom w:val="single" w:sz="4" w:space="0" w:color="auto"/>
              <w:right w:val="single" w:sz="4" w:space="0" w:color="auto"/>
            </w:tcBorders>
            <w:vAlign w:val="center"/>
          </w:tcPr>
          <w:p w14:paraId="0A5940A8" w14:textId="77777777" w:rsidR="00AA4AC8" w:rsidRDefault="0082369C">
            <w:pPr>
              <w:snapToGrid w:val="0"/>
              <w:rPr>
                <w:rFonts w:eastAsiaTheme="minorEastAsia"/>
              </w:rPr>
            </w:pPr>
            <w:r>
              <w:rPr>
                <w:rFonts w:eastAsiaTheme="minorEastAsia" w:hint="eastAsia"/>
                <w:lang w:val="en-US"/>
              </w:rPr>
              <w:t>Support. And we agree with Apple</w:t>
            </w:r>
            <w:r>
              <w:rPr>
                <w:rFonts w:eastAsiaTheme="minorEastAsia"/>
                <w:lang w:val="en-US"/>
              </w:rPr>
              <w:t>’</w:t>
            </w:r>
            <w:r>
              <w:rPr>
                <w:rFonts w:eastAsiaTheme="minorEastAsia" w:hint="eastAsia"/>
                <w:lang w:val="en-US"/>
              </w:rPr>
              <w:t>s modification.</w:t>
            </w:r>
          </w:p>
        </w:tc>
      </w:tr>
      <w:tr w:rsidR="009858B0" w14:paraId="782B2E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BB40D0" w14:textId="77777777" w:rsidR="009858B0" w:rsidRDefault="009858B0">
            <w:pPr>
              <w:jc w:val="center"/>
              <w:rPr>
                <w:rFonts w:eastAsiaTheme="minorEastAsia" w:cs="Arial"/>
                <w:lang w:val="en-US"/>
              </w:rPr>
            </w:pPr>
            <w:r>
              <w:rPr>
                <w:rFonts w:eastAsiaTheme="minorEastAsia" w:cs="Arial" w:hint="eastAsia"/>
                <w:lang w:val="en-US"/>
              </w:rPr>
              <w:t>S</w:t>
            </w:r>
            <w:r>
              <w:rPr>
                <w:rFonts w:eastAsiaTheme="minorEastAsia" w:cs="Arial"/>
                <w:lang w:val="en-US"/>
              </w:rPr>
              <w:t>preadtrum</w:t>
            </w:r>
          </w:p>
        </w:tc>
        <w:tc>
          <w:tcPr>
            <w:tcW w:w="6840" w:type="dxa"/>
            <w:tcBorders>
              <w:top w:val="single" w:sz="4" w:space="0" w:color="auto"/>
              <w:left w:val="single" w:sz="4" w:space="0" w:color="auto"/>
              <w:bottom w:val="single" w:sz="4" w:space="0" w:color="auto"/>
              <w:right w:val="single" w:sz="4" w:space="0" w:color="auto"/>
            </w:tcBorders>
            <w:vAlign w:val="center"/>
          </w:tcPr>
          <w:p w14:paraId="7FB259C7" w14:textId="77777777" w:rsidR="009858B0" w:rsidRDefault="009858B0">
            <w:pPr>
              <w:snapToGrid w:val="0"/>
              <w:rPr>
                <w:rFonts w:eastAsiaTheme="minorEastAsia"/>
                <w:lang w:val="en-US"/>
              </w:rPr>
            </w:pPr>
            <w:r w:rsidRPr="009858B0">
              <w:rPr>
                <w:rFonts w:eastAsiaTheme="minorEastAsia"/>
                <w:lang w:val="en-US"/>
              </w:rPr>
              <w:t>Support with Apple’s modification.</w:t>
            </w:r>
          </w:p>
        </w:tc>
      </w:tr>
      <w:tr w:rsidR="00890BF4" w14:paraId="24560C8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EDD3EBC" w14:textId="4F336782" w:rsidR="00890BF4" w:rsidRDefault="00890BF4" w:rsidP="00890BF4">
            <w:pPr>
              <w:jc w:val="center"/>
              <w:rPr>
                <w:rFonts w:eastAsiaTheme="minorEastAsia" w:cs="Arial"/>
                <w:lang w:val="en-US"/>
              </w:rPr>
            </w:pPr>
            <w:r>
              <w:rPr>
                <w:rFonts w:eastAsiaTheme="minorEastAsia" w:cs="Arial"/>
                <w:lang w:val="en-US"/>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8BC8C0F" w14:textId="0216CC5C" w:rsidR="00890BF4" w:rsidRPr="009858B0" w:rsidRDefault="00890BF4" w:rsidP="00890BF4">
            <w:pPr>
              <w:snapToGrid w:val="0"/>
              <w:rPr>
                <w:rFonts w:eastAsiaTheme="minorEastAsia"/>
                <w:lang w:val="en-US"/>
              </w:rPr>
            </w:pPr>
            <w:r>
              <w:rPr>
                <w:rFonts w:eastAsiaTheme="minorEastAsia"/>
                <w:lang w:val="en-US"/>
              </w:rPr>
              <w:t>Support.</w:t>
            </w:r>
          </w:p>
        </w:tc>
      </w:tr>
    </w:tbl>
    <w:p w14:paraId="7DB8610B" w14:textId="3D080F6A" w:rsidR="003811FC" w:rsidRPr="003811FC" w:rsidRDefault="003811FC" w:rsidP="003811FC">
      <w:pPr>
        <w:pStyle w:val="2"/>
        <w:numPr>
          <w:ilvl w:val="1"/>
          <w:numId w:val="10"/>
        </w:numPr>
        <w:rPr>
          <w:rFonts w:ascii="Times New Roman" w:eastAsiaTheme="minorEastAsia" w:hAnsi="Times New Roman"/>
          <w:b/>
          <w:sz w:val="22"/>
        </w:rPr>
      </w:pPr>
      <w:r w:rsidRPr="003811FC">
        <w:rPr>
          <w:rFonts w:ascii="Times New Roman" w:eastAsiaTheme="minorEastAsia" w:hAnsi="Times New Roman"/>
          <w:b/>
          <w:sz w:val="22"/>
        </w:rPr>
        <w:t>Updated based on the email discussion</w:t>
      </w:r>
      <w:r w:rsidR="006D4825">
        <w:rPr>
          <w:rFonts w:ascii="Times New Roman" w:eastAsiaTheme="minorEastAsia" w:hAnsi="Times New Roman"/>
          <w:b/>
          <w:sz w:val="22"/>
        </w:rPr>
        <w:t xml:space="preserve"> [Closed]</w:t>
      </w:r>
    </w:p>
    <w:p w14:paraId="256FE320" w14:textId="10BBD902" w:rsidR="003811FC" w:rsidRDefault="003811FC" w:rsidP="003811FC">
      <w:pPr>
        <w:rPr>
          <w:rFonts w:eastAsiaTheme="minorEastAsia"/>
        </w:rPr>
      </w:pPr>
      <w:r w:rsidRPr="003811FC">
        <w:rPr>
          <w:rFonts w:eastAsiaTheme="minorEastAsia"/>
        </w:rPr>
        <w:t>Based on the summary, it seems that consensus can be achieved based on the updates</w:t>
      </w:r>
      <w:r w:rsidR="006D4825">
        <w:rPr>
          <w:rFonts w:eastAsiaTheme="minorEastAsia"/>
        </w:rPr>
        <w:t xml:space="preserve"> and following agreement has been achieved </w:t>
      </w:r>
      <w:r w:rsidR="004D7BB7">
        <w:rPr>
          <w:rFonts w:eastAsiaTheme="minorEastAsia"/>
        </w:rPr>
        <w:t>in</w:t>
      </w:r>
      <w:r w:rsidR="006D4825">
        <w:rPr>
          <w:rFonts w:eastAsiaTheme="minorEastAsia"/>
        </w:rPr>
        <w:t xml:space="preserve"> GTW session in 17</w:t>
      </w:r>
      <w:r w:rsidR="006D4825" w:rsidRPr="006D4825">
        <w:rPr>
          <w:rFonts w:eastAsiaTheme="minorEastAsia"/>
          <w:vertAlign w:val="superscript"/>
        </w:rPr>
        <w:t>th</w:t>
      </w:r>
      <w:r w:rsidR="006D4825">
        <w:rPr>
          <w:rFonts w:eastAsiaTheme="minorEastAsia"/>
        </w:rPr>
        <w:t>, Nov.</w:t>
      </w:r>
    </w:p>
    <w:p w14:paraId="7F06DD54" w14:textId="77777777" w:rsidR="006D4825" w:rsidRPr="00AC5B08" w:rsidRDefault="006D4825" w:rsidP="006D4825">
      <w:pPr>
        <w:snapToGrid w:val="0"/>
        <w:spacing w:after="0"/>
        <w:rPr>
          <w:lang w:eastAsia="x-none"/>
        </w:rPr>
      </w:pPr>
      <w:r w:rsidRPr="00AC5B08">
        <w:rPr>
          <w:b/>
          <w:highlight w:val="green"/>
          <w:lang w:eastAsia="x-none"/>
        </w:rPr>
        <w:t>Agreement</w:t>
      </w:r>
    </w:p>
    <w:p w14:paraId="4565E32A" w14:textId="77777777" w:rsidR="006D4825" w:rsidRPr="00AC5B08" w:rsidRDefault="006D4825" w:rsidP="006D4825">
      <w:pPr>
        <w:snapToGrid w:val="0"/>
        <w:spacing w:after="0"/>
        <w:rPr>
          <w:lang w:eastAsia="x-none"/>
        </w:rPr>
      </w:pPr>
      <w:r w:rsidRPr="00AC5B08">
        <w:rPr>
          <w:lang w:eastAsia="x-none"/>
        </w:rPr>
        <w:t>The bit-fields related to the HARQ-ACK feedback (i.e., PRI, PUSCH-to-HARQ_feedback timing, DAI) are unchanged for the DCI of PDSCH with feedback-disabled HARQ process in Rel-17 with the same interpretation from UE as for feedback-enabled HARQ process</w:t>
      </w:r>
    </w:p>
    <w:p w14:paraId="70C8A1A4" w14:textId="77777777" w:rsidR="006D4825" w:rsidRPr="00AC5B08" w:rsidRDefault="006D4825" w:rsidP="006D4825">
      <w:pPr>
        <w:numPr>
          <w:ilvl w:val="0"/>
          <w:numId w:val="53"/>
        </w:numPr>
        <w:overflowPunct/>
        <w:autoSpaceDE/>
        <w:autoSpaceDN/>
        <w:snapToGrid w:val="0"/>
        <w:spacing w:after="0"/>
        <w:textAlignment w:val="auto"/>
        <w:rPr>
          <w:lang w:eastAsia="x-none"/>
        </w:rPr>
      </w:pPr>
      <w:r w:rsidRPr="00AC5B08">
        <w:rPr>
          <w:lang w:eastAsia="x-none"/>
        </w:rPr>
        <w:t>Note: The interpretation regarding the DAI for Type-2 codebook is up to the progress of codebook design.</w:t>
      </w:r>
    </w:p>
    <w:p w14:paraId="1FFFF523" w14:textId="79442B39" w:rsidR="006D4825" w:rsidRPr="006D4825" w:rsidRDefault="006D4825" w:rsidP="006D4825">
      <w:pPr>
        <w:spacing w:beforeLines="50" w:before="120"/>
        <w:rPr>
          <w:rFonts w:eastAsiaTheme="minorEastAsia"/>
        </w:rPr>
      </w:pPr>
      <w:r>
        <w:rPr>
          <w:rFonts w:eastAsiaTheme="minorEastAsia" w:hint="eastAsia"/>
        </w:rPr>
        <w:t>Then, this topic is closed.</w:t>
      </w:r>
    </w:p>
    <w:p w14:paraId="2BB39828"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Issue-4 Performance enhancement [Closed]</w:t>
      </w:r>
    </w:p>
    <w:p w14:paraId="23E10595"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0A9FF0CF" w14:textId="77777777" w:rsidR="00AA4AC8" w:rsidRDefault="0082369C">
      <w:pPr>
        <w:snapToGrid w:val="0"/>
        <w:spacing w:beforeLines="50" w:before="120" w:afterLines="50" w:after="120"/>
        <w:ind w:leftChars="100" w:left="200"/>
        <w:rPr>
          <w:rFonts w:eastAsiaTheme="minorEastAsia"/>
        </w:rPr>
      </w:pPr>
      <w:r>
        <w:rPr>
          <w:rFonts w:eastAsiaTheme="minorEastAsia"/>
        </w:rPr>
        <w:t xml:space="preserve">In RAN1#106e meeting, following agreement has been achieved: </w:t>
      </w:r>
    </w:p>
    <w:p w14:paraId="34E5FA36" w14:textId="77777777" w:rsidR="00AA4AC8" w:rsidRDefault="0082369C">
      <w:pPr>
        <w:spacing w:beforeLines="50" w:before="120" w:afterLines="50" w:after="120"/>
        <w:ind w:firstLine="198"/>
      </w:pPr>
      <w:r>
        <w:rPr>
          <w:highlight w:val="green"/>
        </w:rPr>
        <w:t>Agreement:</w:t>
      </w:r>
      <w:r>
        <w:t xml:space="preserve"> </w:t>
      </w:r>
    </w:p>
    <w:p w14:paraId="75BCA841" w14:textId="77777777" w:rsidR="00AA4AC8" w:rsidRDefault="0082369C">
      <w:pPr>
        <w:spacing w:after="0"/>
        <w:ind w:firstLine="200"/>
      </w:pPr>
      <w:r>
        <w:t>The maximum number of supported aggregation factor (i.e., pdsch-AggregationFactor) for DL PDSCH is [X]</w:t>
      </w:r>
    </w:p>
    <w:p w14:paraId="618FC01F" w14:textId="77777777" w:rsidR="00AA4AC8" w:rsidRDefault="0082369C">
      <w:pPr>
        <w:numPr>
          <w:ilvl w:val="0"/>
          <w:numId w:val="24"/>
        </w:numPr>
        <w:overflowPunct/>
        <w:autoSpaceDE/>
        <w:autoSpaceDN/>
        <w:adjustRightInd/>
        <w:spacing w:after="0"/>
        <w:textAlignment w:val="auto"/>
      </w:pPr>
      <w:r>
        <w:lastRenderedPageBreak/>
        <w:t>FFS: X = 8, 16 or 32</w:t>
      </w:r>
    </w:p>
    <w:p w14:paraId="62CA3E80" w14:textId="77777777" w:rsidR="00AA4AC8" w:rsidRDefault="0082369C">
      <w:pPr>
        <w:snapToGrid w:val="0"/>
        <w:spacing w:beforeLines="50" w:before="120" w:afterLines="50" w:after="120"/>
        <w:ind w:leftChars="100" w:left="200"/>
        <w:rPr>
          <w:rFonts w:eastAsiaTheme="minorEastAsia"/>
        </w:rPr>
      </w:pPr>
      <w:r>
        <w:rPr>
          <w:rFonts w:eastAsiaTheme="minorEastAsia"/>
        </w:rPr>
        <w:t>In this meeting, regarding the value of X, following views are shared:</w:t>
      </w:r>
    </w:p>
    <w:p w14:paraId="03CC9B28" w14:textId="77777777" w:rsidR="00AA4AC8" w:rsidRDefault="0082369C">
      <w:pPr>
        <w:pStyle w:val="ab"/>
        <w:numPr>
          <w:ilvl w:val="1"/>
          <w:numId w:val="15"/>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Pr>
          <w:rFonts w:ascii="Times New Roman" w:eastAsiaTheme="minorEastAsia" w:hAnsi="Times New Roman"/>
        </w:rPr>
        <w:t>X = 8: [Samsung, Ericsson]</w:t>
      </w:r>
    </w:p>
    <w:p w14:paraId="5B68FB29" w14:textId="77777777" w:rsidR="00AA4AC8" w:rsidRDefault="0082369C">
      <w:pPr>
        <w:pStyle w:val="ab"/>
        <w:numPr>
          <w:ilvl w:val="1"/>
          <w:numId w:val="15"/>
        </w:numPr>
        <w:suppressAutoHyphens/>
        <w:overflowPunct/>
        <w:autoSpaceDE/>
        <w:autoSpaceDN/>
        <w:snapToGrid w:val="0"/>
        <w:spacing w:beforeLines="50" w:before="120" w:afterLines="50"/>
        <w:ind w:leftChars="122" w:left="664"/>
        <w:textAlignment w:val="auto"/>
        <w:rPr>
          <w:rFonts w:ascii="Times New Roman" w:eastAsiaTheme="minorEastAsia" w:hAnsi="Times New Roman"/>
          <w:lang w:val="fr-FR"/>
        </w:rPr>
      </w:pPr>
      <w:r>
        <w:rPr>
          <w:rFonts w:ascii="Times New Roman" w:eastAsiaTheme="minorEastAsia" w:hAnsi="Times New Roman"/>
          <w:lang w:val="fr-FR"/>
        </w:rPr>
        <w:t>X = 32: [Huawei, ETRI, IDC, CMCC]</w:t>
      </w:r>
    </w:p>
    <w:p w14:paraId="6578457C" w14:textId="77777777" w:rsidR="00AA4AC8" w:rsidRDefault="0082369C">
      <w:pPr>
        <w:pStyle w:val="ab"/>
        <w:numPr>
          <w:ilvl w:val="1"/>
          <w:numId w:val="15"/>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Pr>
          <w:rFonts w:ascii="Times New Roman" w:eastAsiaTheme="minorEastAsia" w:hAnsi="Times New Roman"/>
        </w:rPr>
        <w:t>X = 16: [OPPO, Nokia, CATT, MTK, Baicell, ZTE, CMCC]</w:t>
      </w:r>
    </w:p>
    <w:p w14:paraId="520E8DF9" w14:textId="77777777" w:rsidR="00AA4AC8" w:rsidRDefault="0082369C">
      <w:pPr>
        <w:pStyle w:val="ab"/>
        <w:suppressAutoHyphens/>
        <w:overflowPunct/>
        <w:autoSpaceDE/>
        <w:autoSpaceDN/>
        <w:snapToGrid w:val="0"/>
        <w:spacing w:beforeLines="50" w:before="120" w:afterLines="50"/>
        <w:ind w:left="244"/>
        <w:textAlignment w:val="auto"/>
        <w:rPr>
          <w:rFonts w:ascii="Times New Roman" w:eastAsiaTheme="minorEastAsia" w:hAnsi="Times New Roman"/>
          <w:szCs w:val="20"/>
        </w:rPr>
      </w:pPr>
      <w:r>
        <w:rPr>
          <w:rFonts w:ascii="Times New Roman" w:eastAsiaTheme="minorEastAsia" w:hAnsi="Times New Roman"/>
        </w:rPr>
        <w:t xml:space="preserve">More specifically, regarding this topic, [Samsung] points that it may be meaningless to enhance the PDSCH only without consideration on other channels and prefers to take this topic in Rel-18.  </w:t>
      </w:r>
      <w:r>
        <w:rPr>
          <w:rFonts w:eastAsia="Malgun Gothic"/>
          <w:i/>
          <w:iCs/>
          <w:u w:val="single"/>
        </w:rPr>
        <w:t xml:space="preserve">PDSCH is the channel with best coverage. It is not </w:t>
      </w:r>
      <w:r>
        <w:rPr>
          <w:rFonts w:ascii="Times New Roman" w:eastAsia="Malgun Gothic" w:hAnsi="Times New Roman"/>
          <w:i/>
          <w:iCs/>
          <w:szCs w:val="20"/>
          <w:u w:val="single"/>
        </w:rPr>
        <w:t>meaningful to enhance PDSCH coverage without enhancing coverage for other channels in NTN beyond what can be done in Rel-17.</w:t>
      </w:r>
    </w:p>
    <w:p w14:paraId="136960D4" w14:textId="77777777" w:rsidR="00AA4AC8" w:rsidRDefault="0082369C">
      <w:pPr>
        <w:pStyle w:val="ab"/>
        <w:suppressAutoHyphens/>
        <w:overflowPunct/>
        <w:autoSpaceDE/>
        <w:autoSpaceDN/>
        <w:snapToGrid w:val="0"/>
        <w:spacing w:beforeLines="50" w:before="120" w:afterLines="50"/>
        <w:ind w:left="244"/>
        <w:textAlignment w:val="auto"/>
        <w:rPr>
          <w:rFonts w:ascii="Times New Roman" w:hAnsi="Times New Roman"/>
          <w:szCs w:val="20"/>
        </w:rPr>
      </w:pPr>
      <w:r>
        <w:rPr>
          <w:rFonts w:ascii="Times New Roman" w:eastAsiaTheme="minorEastAsia" w:hAnsi="Times New Roman"/>
          <w:szCs w:val="20"/>
        </w:rPr>
        <w:t>However, according to the analysis for others, it’s still beneficial to enlarge the value in Rel-17 since 8 aggregated transmission might be insufficient even if low SE MCS table is applied for some cases. Moreover, as alternative solution,</w:t>
      </w:r>
      <w:r>
        <w:rPr>
          <w:rFonts w:ascii="Times New Roman" w:hAnsi="Times New Roman"/>
          <w:szCs w:val="20"/>
        </w:rPr>
        <w:t xml:space="preserve"> 16 slots being aggregated can be considered to mitigate the HACK stalling. E.g., ETRI</w:t>
      </w:r>
    </w:p>
    <w:p w14:paraId="4CB4508C" w14:textId="77777777" w:rsidR="00AA4AC8" w:rsidRDefault="0082369C">
      <w:pPr>
        <w:pStyle w:val="afc"/>
        <w:numPr>
          <w:ilvl w:val="0"/>
          <w:numId w:val="25"/>
        </w:numPr>
        <w:rPr>
          <w:rFonts w:ascii="Times New Roman" w:hAnsi="Times New Roman"/>
          <w:sz w:val="20"/>
          <w:szCs w:val="20"/>
          <w:lang w:eastAsia="ko-KR"/>
        </w:rPr>
      </w:pPr>
      <w:r>
        <w:rPr>
          <w:rFonts w:ascii="Times New Roman" w:hAnsi="Times New Roman"/>
          <w:sz w:val="20"/>
          <w:szCs w:val="20"/>
          <w:lang w:eastAsia="ko-KR"/>
        </w:rPr>
        <w:t>32 aggregated transmission might be insufficient even if low SE MCS table is applied.</w:t>
      </w:r>
    </w:p>
    <w:p w14:paraId="3C82F928" w14:textId="77777777" w:rsidR="00AA4AC8" w:rsidRDefault="0082369C">
      <w:pPr>
        <w:snapToGrid w:val="0"/>
        <w:spacing w:beforeLines="50" w:before="120" w:afterLines="50" w:after="120"/>
        <w:ind w:leftChars="100" w:left="200"/>
        <w:rPr>
          <w:rFonts w:eastAsiaTheme="minorEastAsia"/>
        </w:rPr>
      </w:pPr>
      <w:r>
        <w:rPr>
          <w:rFonts w:eastAsiaTheme="minorEastAsia"/>
        </w:rPr>
        <w:t>Additionally, following enhancements are proposed by companies to further optimize the transmission:</w:t>
      </w:r>
    </w:p>
    <w:p w14:paraId="079D3566" w14:textId="77777777" w:rsidR="00AA4AC8" w:rsidRDefault="0082369C">
      <w:pPr>
        <w:pStyle w:val="ab"/>
        <w:numPr>
          <w:ilvl w:val="1"/>
          <w:numId w:val="15"/>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Pr>
          <w:rFonts w:ascii="Times New Roman" w:eastAsiaTheme="minorEastAsia" w:hAnsi="Times New Roman"/>
        </w:rPr>
        <w:t xml:space="preserve">Indication/configuration of aggregation factor/repetition factor: </w:t>
      </w:r>
    </w:p>
    <w:p w14:paraId="35163092" w14:textId="77777777" w:rsidR="00AA4AC8" w:rsidRDefault="0082369C">
      <w:pPr>
        <w:pStyle w:val="ab"/>
        <w:numPr>
          <w:ilvl w:val="2"/>
          <w:numId w:val="15"/>
        </w:numPr>
        <w:suppressAutoHyphens/>
        <w:overflowPunct/>
        <w:autoSpaceDE/>
        <w:autoSpaceDN/>
        <w:snapToGrid w:val="0"/>
        <w:spacing w:beforeLines="50" w:before="120" w:afterLines="50"/>
        <w:ind w:leftChars="332" w:left="1084"/>
        <w:textAlignment w:val="auto"/>
        <w:rPr>
          <w:rFonts w:ascii="Times New Roman" w:eastAsiaTheme="minorEastAsia" w:hAnsi="Times New Roman"/>
        </w:rPr>
      </w:pPr>
      <w:r>
        <w:rPr>
          <w:rFonts w:ascii="Times New Roman" w:eastAsiaTheme="minorEastAsia" w:hAnsi="Times New Roman"/>
        </w:rPr>
        <w:t xml:space="preserve">DCI based indication: [Huawei, NEC, IDC] prefer to indicate the value via DCI, e.g., by reinterpreting the idle bits with configuration depending on the orbit parameters [Huawei] or </w:t>
      </w:r>
      <w:r>
        <w:rPr>
          <w:rFonts w:ascii="Times New Roman" w:hAnsi="Times New Roman"/>
          <w:i/>
          <w:iCs/>
        </w:rPr>
        <w:t>extension/modification of TDRA field [NEC]</w:t>
      </w:r>
      <w:r>
        <w:rPr>
          <w:rFonts w:ascii="Times New Roman" w:eastAsiaTheme="minorEastAsia" w:hAnsi="Times New Roman"/>
        </w:rPr>
        <w:t>.</w:t>
      </w:r>
    </w:p>
    <w:p w14:paraId="2F521274" w14:textId="77777777" w:rsidR="00AA4AC8" w:rsidRDefault="0082369C">
      <w:pPr>
        <w:pStyle w:val="ab"/>
        <w:numPr>
          <w:ilvl w:val="2"/>
          <w:numId w:val="15"/>
        </w:numPr>
        <w:suppressAutoHyphens/>
        <w:overflowPunct/>
        <w:autoSpaceDE/>
        <w:autoSpaceDN/>
        <w:snapToGrid w:val="0"/>
        <w:spacing w:beforeLines="50" w:before="120" w:afterLines="50"/>
        <w:ind w:leftChars="332" w:left="1084"/>
        <w:textAlignment w:val="auto"/>
        <w:rPr>
          <w:rFonts w:ascii="Times New Roman" w:eastAsiaTheme="minorEastAsia" w:hAnsi="Times New Roman"/>
        </w:rPr>
      </w:pPr>
      <w:r>
        <w:rPr>
          <w:rFonts w:ascii="Times New Roman" w:eastAsiaTheme="minorEastAsia" w:hAnsi="Times New Roman"/>
        </w:rPr>
        <w:t>Different parameters configurations:</w:t>
      </w:r>
    </w:p>
    <w:p w14:paraId="7A9AB591" w14:textId="77777777" w:rsidR="00AA4AC8" w:rsidRDefault="0082369C">
      <w:pPr>
        <w:pStyle w:val="ab"/>
        <w:numPr>
          <w:ilvl w:val="2"/>
          <w:numId w:val="15"/>
        </w:numPr>
        <w:suppressAutoHyphens/>
        <w:overflowPunct/>
        <w:autoSpaceDE/>
        <w:autoSpaceDN/>
        <w:snapToGrid w:val="0"/>
        <w:spacing w:beforeLines="50" w:before="120" w:afterLines="50"/>
        <w:textAlignment w:val="auto"/>
        <w:rPr>
          <w:rFonts w:ascii="Times New Roman" w:eastAsiaTheme="minorEastAsia" w:hAnsi="Times New Roman"/>
        </w:rPr>
      </w:pPr>
      <w:r>
        <w:rPr>
          <w:rFonts w:ascii="Times New Roman" w:eastAsiaTheme="minorEastAsia" w:hAnsi="Times New Roman"/>
        </w:rPr>
        <w:t xml:space="preserve">[OPPO, Ericsson, ETRI] prefer to introduce different configurations for different transmission, e.g., via HARQ process with enabled or disabled feedback. </w:t>
      </w:r>
    </w:p>
    <w:p w14:paraId="1C347C2E" w14:textId="77777777" w:rsidR="00AA4AC8" w:rsidRDefault="0082369C">
      <w:pPr>
        <w:pStyle w:val="ab"/>
        <w:numPr>
          <w:ilvl w:val="2"/>
          <w:numId w:val="15"/>
        </w:numPr>
        <w:suppressAutoHyphens/>
        <w:overflowPunct/>
        <w:autoSpaceDE/>
        <w:autoSpaceDN/>
        <w:snapToGrid w:val="0"/>
        <w:spacing w:beforeLines="50" w:before="120" w:afterLines="50"/>
        <w:textAlignment w:val="auto"/>
        <w:rPr>
          <w:rFonts w:ascii="Times New Roman" w:eastAsiaTheme="minorEastAsia" w:hAnsi="Times New Roman"/>
        </w:rPr>
      </w:pPr>
      <w:r>
        <w:rPr>
          <w:rFonts w:ascii="Times New Roman" w:hAnsi="Times New Roman"/>
        </w:rPr>
        <w:t>[Apple] proposed to consider an adjustable aggregation factor in SPS PDSCH transmission</w:t>
      </w:r>
    </w:p>
    <w:p w14:paraId="248CB7F8" w14:textId="77777777" w:rsidR="00AA4AC8" w:rsidRDefault="0082369C">
      <w:pPr>
        <w:pStyle w:val="ab"/>
        <w:numPr>
          <w:ilvl w:val="1"/>
          <w:numId w:val="15"/>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Pr>
          <w:rFonts w:ascii="Times New Roman" w:eastAsiaTheme="minorEastAsia" w:hAnsi="Times New Roman"/>
        </w:rPr>
        <w:t xml:space="preserve">Transmission scheme: </w:t>
      </w:r>
    </w:p>
    <w:p w14:paraId="457A74F8" w14:textId="77777777" w:rsidR="00AA4AC8" w:rsidRDefault="0082369C">
      <w:pPr>
        <w:pStyle w:val="ab"/>
        <w:suppressAutoHyphens/>
        <w:overflowPunct/>
        <w:autoSpaceDE/>
        <w:autoSpaceDN/>
        <w:snapToGrid w:val="0"/>
        <w:spacing w:beforeLines="50" w:before="120" w:afterLines="50"/>
        <w:ind w:leftChars="332" w:left="664"/>
        <w:textAlignment w:val="auto"/>
        <w:rPr>
          <w:rFonts w:ascii="Times New Roman" w:eastAsiaTheme="minorEastAsia" w:hAnsi="Times New Roman"/>
        </w:rPr>
      </w:pPr>
      <w:r>
        <w:rPr>
          <w:rFonts w:ascii="Times New Roman" w:eastAsiaTheme="minorEastAsia" w:hAnsi="Times New Roman"/>
        </w:rPr>
        <w:t xml:space="preserve">For the aggregated transmission, the solution as </w:t>
      </w:r>
      <w:r>
        <w:rPr>
          <w:rFonts w:ascii="Times New Roman" w:eastAsiaTheme="minorEastAsia" w:hAnsi="Times New Roman" w:hint="eastAsia"/>
        </w:rPr>
        <w:t>t</w:t>
      </w:r>
      <w:r>
        <w:rPr>
          <w:rFonts w:ascii="Times New Roman" w:eastAsiaTheme="minorEastAsia" w:hAnsi="Times New Roman"/>
        </w:rPr>
        <w:t>ime interleaved aggregated transmission is proposed by [CATT]</w:t>
      </w:r>
    </w:p>
    <w:p w14:paraId="05E619B3" w14:textId="77777777" w:rsidR="00AA4AC8" w:rsidRDefault="0082369C">
      <w:pPr>
        <w:snapToGrid w:val="0"/>
        <w:spacing w:beforeLines="50" w:before="120" w:afterLines="50" w:after="120"/>
        <w:ind w:leftChars="100" w:left="200"/>
        <w:rPr>
          <w:rFonts w:eastAsiaTheme="minorEastAsia"/>
        </w:rPr>
      </w:pPr>
      <w:r>
        <w:rPr>
          <w:rFonts w:eastAsiaTheme="minorEastAsia"/>
        </w:rPr>
        <w:t xml:space="preserve">In additional, others solutions, new UCI feedback in case of scheduling with disabled HARQ feedback [Xiaomi], </w:t>
      </w:r>
      <w:r>
        <w:t xml:space="preserve">requesting for guiding pdsch-AggregationFactor from gNB or reporting </w:t>
      </w:r>
      <w:r>
        <w:rPr>
          <w:lang w:eastAsia="ko-KR"/>
        </w:rPr>
        <w:t>decoding statistics via MAC CE [</w:t>
      </w:r>
      <w:r>
        <w:rPr>
          <w:rFonts w:eastAsiaTheme="minorEastAsia"/>
        </w:rPr>
        <w:t>ETRI</w:t>
      </w:r>
      <w:r>
        <w:rPr>
          <w:lang w:eastAsia="ko-KR"/>
        </w:rPr>
        <w:t>],</w:t>
      </w:r>
      <w:r>
        <w:rPr>
          <w:rFonts w:eastAsiaTheme="minorEastAsia"/>
        </w:rPr>
        <w:t xml:space="preserve"> reporting UE assistant information [Huawei], recommended aggregation factor by UE [LG] and RV restriction (</w:t>
      </w:r>
      <w:r>
        <w:rPr>
          <w:bCs/>
        </w:rPr>
        <w:t>initial transmissions shall use RV 0 and retransmissions shall not use RV 0</w:t>
      </w:r>
      <w:r>
        <w:rPr>
          <w:rFonts w:eastAsiaTheme="minorEastAsia"/>
        </w:rPr>
        <w:t xml:space="preserve">) for scheduling are proposed by proponent. </w:t>
      </w:r>
    </w:p>
    <w:p w14:paraId="6774A611" w14:textId="77777777" w:rsidR="00AA4AC8" w:rsidRDefault="0082369C">
      <w:pPr>
        <w:snapToGrid w:val="0"/>
        <w:spacing w:beforeLines="50" w:before="120" w:afterLines="50" w:after="120"/>
        <w:ind w:leftChars="100" w:left="200"/>
        <w:rPr>
          <w:rFonts w:eastAsiaTheme="minorEastAsia"/>
        </w:rPr>
      </w:pPr>
      <w:r>
        <w:rPr>
          <w:rFonts w:eastAsiaTheme="minorEastAsia"/>
        </w:rPr>
        <w:t>According to the above discussion, from moderator’s perspective, it seems that based on the inputs from proponent, the needs to enlarge the aggregation number are justified by the corresponding analysis to address the companies’ concerns. Moreover, for the enhancement on DL, except for the improvement on coverage, the gain on throughput is also considerable once larger aggregation factor can be considered. Then, it’s recommended that before taking into account the further enhancement, we can conclude to enlarge the aggregation factor firstly with following proposal:</w:t>
      </w:r>
    </w:p>
    <w:p w14:paraId="0113C34E" w14:textId="77777777" w:rsidR="00AA4AC8" w:rsidRDefault="0082369C">
      <w:pPr>
        <w:snapToGrid w:val="0"/>
        <w:spacing w:beforeLines="50" w:before="120" w:afterLines="50" w:after="120"/>
        <w:ind w:leftChars="100" w:left="200"/>
        <w:rPr>
          <w:rFonts w:eastAsiaTheme="minorEastAsia"/>
        </w:rPr>
      </w:pPr>
      <w:r>
        <w:rPr>
          <w:b/>
          <w:color w:val="000000" w:themeColor="text1"/>
          <w:highlight w:val="yellow"/>
        </w:rPr>
        <w:t>[Initial Proposal 4.1]:</w:t>
      </w:r>
      <w:r>
        <w:rPr>
          <w:rFonts w:eastAsiaTheme="minorEastAsia"/>
        </w:rPr>
        <w:t xml:space="preserve"> </w:t>
      </w:r>
    </w:p>
    <w:p w14:paraId="6E3834BD" w14:textId="77777777" w:rsidR="00AA4AC8" w:rsidRDefault="0082369C">
      <w:pPr>
        <w:snapToGrid w:val="0"/>
        <w:spacing w:beforeLines="50" w:before="120" w:afterLines="50" w:after="120"/>
        <w:ind w:leftChars="100" w:left="200"/>
        <w:rPr>
          <w:color w:val="000000" w:themeColor="text1"/>
        </w:rPr>
      </w:pPr>
      <w:r>
        <w:rPr>
          <w:color w:val="000000" w:themeColor="text1"/>
          <w:highlight w:val="yellow"/>
        </w:rPr>
        <w:t>The maximum number of supported aggregation factor (i.e., pdsch-AggregationFactor) for DL PDSCH is 16</w:t>
      </w:r>
    </w:p>
    <w:p w14:paraId="7D4C39B5" w14:textId="77777777" w:rsidR="00AA4AC8" w:rsidRDefault="0082369C">
      <w:pPr>
        <w:snapToGrid w:val="0"/>
        <w:spacing w:beforeLines="50" w:before="120" w:afterLines="50" w:after="120"/>
        <w:ind w:left="424"/>
        <w:rPr>
          <w:rFonts w:eastAsiaTheme="minorEastAsia"/>
          <w:highlight w:val="yellow"/>
        </w:rPr>
      </w:pPr>
      <w:r>
        <w:rPr>
          <w:iCs/>
        </w:rPr>
        <w:t>Please provide your views below</w:t>
      </w:r>
      <w:r>
        <w:rPr>
          <w:rFonts w:hint="eastAsia"/>
          <w:iCs/>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29A6DA9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4ED4A7"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1B410D45" w14:textId="77777777" w:rsidR="00AA4AC8" w:rsidRDefault="0082369C">
            <w:pPr>
              <w:jc w:val="center"/>
              <w:rPr>
                <w:b/>
                <w:sz w:val="28"/>
              </w:rPr>
            </w:pPr>
            <w:r>
              <w:rPr>
                <w:b/>
                <w:sz w:val="22"/>
              </w:rPr>
              <w:t>Comments and Views</w:t>
            </w:r>
          </w:p>
        </w:tc>
      </w:tr>
      <w:tr w:rsidR="00AA4AC8" w14:paraId="169523C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1DD557"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08E1A55" w14:textId="77777777" w:rsidR="00AA4AC8" w:rsidRDefault="0082369C">
            <w:pPr>
              <w:snapToGrid w:val="0"/>
            </w:pPr>
            <w:r>
              <w:t>Support</w:t>
            </w:r>
          </w:p>
        </w:tc>
      </w:tr>
      <w:tr w:rsidR="00AA4AC8" w14:paraId="0286F38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8A095D"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34963BF5"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3CD5B09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3A685A"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1C20F66" w14:textId="77777777" w:rsidR="00AA4AC8" w:rsidRDefault="0082369C">
            <w:pPr>
              <w:snapToGrid w:val="0"/>
            </w:pPr>
            <w:r>
              <w:t xml:space="preserve">We prefer to increase the maximum number to 32. </w:t>
            </w:r>
          </w:p>
        </w:tc>
      </w:tr>
      <w:tr w:rsidR="00AA4AC8" w14:paraId="2F99034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CE395E5"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1FA6F9E" w14:textId="77777777" w:rsidR="00AA4AC8" w:rsidRDefault="0082369C">
            <w:pPr>
              <w:snapToGrid w:val="0"/>
              <w:rPr>
                <w:rFonts w:eastAsiaTheme="minorEastAsia"/>
              </w:rPr>
            </w:pPr>
            <w:r>
              <w:rPr>
                <w:rFonts w:eastAsiaTheme="minorEastAsia"/>
              </w:rPr>
              <w:t xml:space="preserve">Support to take 16 in Rel-17. </w:t>
            </w:r>
          </w:p>
        </w:tc>
      </w:tr>
      <w:tr w:rsidR="00AA4AC8" w14:paraId="68923FC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20610A" w14:textId="77777777" w:rsidR="00AA4AC8" w:rsidRDefault="0082369C">
            <w:pPr>
              <w:jc w:val="center"/>
              <w:rPr>
                <w:rFonts w:eastAsiaTheme="minorEastAsia" w:cs="Arial"/>
              </w:rPr>
            </w:pPr>
            <w:r>
              <w:rPr>
                <w:rFonts w:eastAsiaTheme="minorEastAsia" w:cs="Arial" w:hint="eastAsia"/>
              </w:rPr>
              <w:lastRenderedPageBreak/>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1377BBA"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78F5D16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A65BE9"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220DB94" w14:textId="77777777" w:rsidR="00AA4AC8" w:rsidRDefault="0082369C">
            <w:pPr>
              <w:snapToGrid w:val="0"/>
              <w:rPr>
                <w:rFonts w:eastAsiaTheme="minorEastAsia"/>
              </w:rPr>
            </w:pPr>
            <w:r>
              <w:rPr>
                <w:rFonts w:eastAsiaTheme="minorEastAsia"/>
              </w:rPr>
              <w:t xml:space="preserve">Do not support. </w:t>
            </w:r>
          </w:p>
          <w:p w14:paraId="41947FC0" w14:textId="77777777" w:rsidR="00AA4AC8" w:rsidRDefault="0082369C">
            <w:pPr>
              <w:snapToGrid w:val="0"/>
              <w:rPr>
                <w:rFonts w:eastAsiaTheme="minorEastAsia"/>
              </w:rPr>
            </w:pPr>
            <w:r>
              <w:rPr>
                <w:rFonts w:eastAsiaTheme="minorEastAsia"/>
              </w:rPr>
              <w:t xml:space="preserve">Coverage is limited in the UL. Of all the UL and DL channels, the PDSCH has the best coverage – no justification for arbitrary modifications to PDSCH transmission parameters. </w:t>
            </w:r>
          </w:p>
        </w:tc>
      </w:tr>
      <w:tr w:rsidR="00AA4AC8" w14:paraId="74EEE50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7029ED" w14:textId="77777777" w:rsidR="00AA4AC8" w:rsidRDefault="0082369C">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2F052F28" w14:textId="77777777" w:rsidR="00AA4AC8" w:rsidRDefault="0082369C">
            <w:pPr>
              <w:snapToGrid w:val="0"/>
              <w:rPr>
                <w:rFonts w:eastAsiaTheme="minorEastAsia"/>
              </w:rPr>
            </w:pPr>
            <w:r>
              <w:rPr>
                <w:rFonts w:eastAsiaTheme="minorEastAsia"/>
              </w:rPr>
              <w:t>Ok with 16 for the sake of progress</w:t>
            </w:r>
          </w:p>
        </w:tc>
      </w:tr>
      <w:tr w:rsidR="00AA4AC8" w14:paraId="21B34B1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D4182E"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2B054D5" w14:textId="77777777" w:rsidR="00AA4AC8" w:rsidRDefault="0082369C">
            <w:pPr>
              <w:snapToGrid w:val="0"/>
              <w:rPr>
                <w:rFonts w:eastAsiaTheme="minorEastAsia"/>
              </w:rPr>
            </w:pPr>
            <w:r>
              <w:rPr>
                <w:rFonts w:eastAsiaTheme="minorEastAsia"/>
              </w:rPr>
              <w:t>Support</w:t>
            </w:r>
          </w:p>
        </w:tc>
      </w:tr>
      <w:tr w:rsidR="00AA4AC8" w14:paraId="5B7D3EE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5497C8" w14:textId="77777777" w:rsidR="00AA4AC8" w:rsidRDefault="0082369C">
            <w:pPr>
              <w:jc w:val="center"/>
              <w:rPr>
                <w:rFonts w:eastAsiaTheme="minorEastAsia" w:cs="Arial"/>
              </w:rPr>
            </w:pPr>
            <w:r>
              <w:rPr>
                <w:rFonts w:eastAsiaTheme="minorEastAsia" w:cs="Arial"/>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64FB91C"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578A130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E36561"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24B53A4B" w14:textId="77777777" w:rsidR="00AA4AC8" w:rsidRDefault="0082369C">
            <w:pPr>
              <w:snapToGrid w:val="0"/>
              <w:rPr>
                <w:rFonts w:eastAsiaTheme="minorEastAsia"/>
              </w:rPr>
            </w:pPr>
            <w:r>
              <w:rPr>
                <w:rFonts w:eastAsiaTheme="minorEastAsia"/>
              </w:rPr>
              <w:t>We agree with Apple that maximum number should be 32.</w:t>
            </w:r>
          </w:p>
        </w:tc>
      </w:tr>
      <w:tr w:rsidR="00AA4AC8" w14:paraId="17771D6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09E8AF" w14:textId="77777777" w:rsidR="00AA4AC8" w:rsidRDefault="0082369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230714C" w14:textId="77777777" w:rsidR="00AA4AC8" w:rsidRDefault="0082369C">
            <w:pPr>
              <w:snapToGrid w:val="0"/>
              <w:rPr>
                <w:rFonts w:eastAsiaTheme="minorEastAsia"/>
              </w:rPr>
            </w:pPr>
            <w:r>
              <w:rPr>
                <w:rFonts w:eastAsia="MS Mincho" w:hint="eastAsia"/>
                <w:lang w:eastAsia="ja-JP"/>
              </w:rPr>
              <w:t>S</w:t>
            </w:r>
            <w:r>
              <w:rPr>
                <w:rFonts w:eastAsia="MS Mincho"/>
                <w:lang w:eastAsia="ja-JP"/>
              </w:rPr>
              <w:t>upport the proposal.</w:t>
            </w:r>
          </w:p>
        </w:tc>
      </w:tr>
      <w:tr w:rsidR="00AA4AC8" w14:paraId="03BEB64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B05D2D"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3BF366E2" w14:textId="77777777" w:rsidR="00AA4AC8" w:rsidRDefault="0082369C">
            <w:pPr>
              <w:snapToGrid w:val="0"/>
              <w:rPr>
                <w:rFonts w:eastAsiaTheme="minorEastAsia"/>
              </w:rPr>
            </w:pPr>
            <w:r>
              <w:rPr>
                <w:rFonts w:eastAsiaTheme="minorEastAsia"/>
              </w:rPr>
              <w:t>OK with 16 for progress.</w:t>
            </w:r>
          </w:p>
        </w:tc>
      </w:tr>
      <w:tr w:rsidR="00AA4AC8" w14:paraId="33E0E6E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63BB40"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B1370F2"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5ED2B66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080B68" w14:textId="77777777" w:rsidR="00AA4AC8" w:rsidRDefault="0082369C">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DAA718C" w14:textId="77777777" w:rsidR="00AA4AC8" w:rsidRDefault="0082369C">
            <w:pPr>
              <w:snapToGrid w:val="0"/>
              <w:rPr>
                <w:rFonts w:eastAsia="MS Mincho"/>
                <w:lang w:eastAsia="ja-JP"/>
              </w:rPr>
            </w:pPr>
            <w:r>
              <w:t>We do not support this proposal. simulations by ETRI show that with low SE MCS table, AF=8 is sufficient even if BLER target is as low as 0.1%. Support for lower BLER target than 0.1% does not seem justified. Further, the PDSCH is not necessarily the bottleneck for coverage. Coverage enhancement, including repetition enhancements and other enhancements, has been proposed in RAN plenary for an NR NTN evolution WI in Rel-18. It is premature to single out one specific enhancement for one specific channel in Rel-17 without proper evaluation of the system level impact on coverage.</w:t>
            </w:r>
          </w:p>
        </w:tc>
      </w:tr>
      <w:tr w:rsidR="00AA4AC8" w14:paraId="46F1A97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ABEC73" w14:textId="77777777" w:rsidR="00AA4AC8" w:rsidRDefault="0082369C">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629AD49D" w14:textId="77777777" w:rsidR="00AA4AC8" w:rsidRDefault="0082369C">
            <w:pPr>
              <w:snapToGrid w:val="0"/>
            </w:pPr>
            <w:r>
              <w:t xml:space="preserve">We do not support the proposal. </w:t>
            </w:r>
          </w:p>
          <w:p w14:paraId="68DB66E5" w14:textId="77777777" w:rsidR="00AA4AC8" w:rsidRDefault="0082369C">
            <w:pPr>
              <w:snapToGrid w:val="0"/>
            </w:pPr>
            <w:r>
              <w:t xml:space="preserve">We would like to change our view in the summary and not support increase pdsch-Aggregation Factor. </w:t>
            </w:r>
          </w:p>
          <w:p w14:paraId="4407538E" w14:textId="77777777" w:rsidR="00AA4AC8" w:rsidRDefault="0082369C">
            <w:pPr>
              <w:pStyle w:val="ab"/>
              <w:numPr>
                <w:ilvl w:val="1"/>
                <w:numId w:val="15"/>
              </w:numPr>
              <w:suppressAutoHyphens/>
              <w:overflowPunct/>
              <w:autoSpaceDE/>
              <w:autoSpaceDN/>
              <w:snapToGrid w:val="0"/>
              <w:spacing w:beforeLines="50" w:before="120" w:afterLines="50"/>
              <w:ind w:leftChars="122" w:left="664"/>
              <w:textAlignment w:val="auto"/>
              <w:rPr>
                <w:rFonts w:ascii="Times New Roman" w:eastAsiaTheme="minorEastAsia" w:hAnsi="Times New Roman"/>
              </w:rPr>
            </w:pPr>
            <w:r>
              <w:rPr>
                <w:rFonts w:ascii="Times New Roman" w:eastAsiaTheme="minorEastAsia" w:hAnsi="Times New Roman"/>
              </w:rPr>
              <w:t xml:space="preserve">X = 8: [Samsung, Ericsson, </w:t>
            </w:r>
            <w:r>
              <w:rPr>
                <w:rFonts w:ascii="Times New Roman" w:eastAsiaTheme="minorEastAsia" w:hAnsi="Times New Roman"/>
                <w:color w:val="FF0000"/>
              </w:rPr>
              <w:t>MediaTek</w:t>
            </w:r>
            <w:r>
              <w:rPr>
                <w:rFonts w:ascii="Times New Roman" w:eastAsiaTheme="minorEastAsia" w:hAnsi="Times New Roman"/>
              </w:rPr>
              <w:t>]</w:t>
            </w:r>
          </w:p>
          <w:p w14:paraId="681D4BCB" w14:textId="77777777" w:rsidR="00AA4AC8" w:rsidRDefault="0082369C">
            <w:pPr>
              <w:snapToGrid w:val="0"/>
            </w:pPr>
            <w:r>
              <w:t>We agree with Ericsson comments. It is not essential enhancements and also think it should be justified with system level impact on coverage.</w:t>
            </w:r>
          </w:p>
        </w:tc>
      </w:tr>
    </w:tbl>
    <w:p w14:paraId="3FFE8089"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Summary based on the email discussion </w:t>
      </w:r>
    </w:p>
    <w:p w14:paraId="2195E6DB" w14:textId="77777777" w:rsidR="00AA4AC8" w:rsidRDefault="0082369C">
      <w:pPr>
        <w:pStyle w:val="afc"/>
        <w:adjustRightInd w:val="0"/>
        <w:snapToGrid w:val="0"/>
        <w:ind w:left="420"/>
        <w:rPr>
          <w:rFonts w:ascii="Times New Roman" w:eastAsiaTheme="minorEastAsia" w:hAnsi="Times New Roman"/>
          <w:b/>
          <w:kern w:val="28"/>
          <w:sz w:val="28"/>
        </w:rPr>
      </w:pPr>
      <w:r>
        <w:rPr>
          <w:rFonts w:ascii="Times New Roman" w:eastAsiaTheme="minorEastAsia" w:hAnsi="Times New Roman"/>
          <w:sz w:val="20"/>
          <w:szCs w:val="20"/>
        </w:rPr>
        <w:t xml:space="preserve">Based on the feedback, it seems that companies’ views are still unchanged compared to the discussion in previous and prefer to take some further evaluation or justification in Rel-18. Then, from moderator’s perspective, </w:t>
      </w:r>
      <w:r>
        <w:rPr>
          <w:rFonts w:ascii="Times New Roman" w:eastAsiaTheme="minorEastAsia" w:hAnsi="Times New Roman"/>
          <w:sz w:val="20"/>
          <w:szCs w:val="20"/>
          <w:highlight w:val="yellow"/>
        </w:rPr>
        <w:t>we can close this topic for Rel-17 and no further discussion on this aspect is expected.</w:t>
      </w:r>
    </w:p>
    <w:p w14:paraId="0EC6264B"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Pr>
          <w:rFonts w:ascii="Times New Roman" w:eastAsiaTheme="minorEastAsia" w:hAnsi="Times New Roman"/>
          <w:b/>
          <w:kern w:val="28"/>
          <w:sz w:val="28"/>
          <w:lang w:val="en-US"/>
        </w:rPr>
        <w:t xml:space="preserve">Issue 5 </w:t>
      </w:r>
      <w:r>
        <w:rPr>
          <w:rFonts w:ascii="Times New Roman" w:eastAsiaTheme="minorEastAsia" w:hAnsi="Times New Roman" w:hint="eastAsia"/>
          <w:b/>
          <w:kern w:val="28"/>
          <w:sz w:val="28"/>
          <w:lang w:val="en-US"/>
        </w:rPr>
        <w:t>U</w:t>
      </w:r>
      <w:r>
        <w:rPr>
          <w:rFonts w:ascii="Times New Roman" w:eastAsiaTheme="minorEastAsia" w:hAnsi="Times New Roman"/>
          <w:b/>
          <w:kern w:val="28"/>
          <w:sz w:val="28"/>
          <w:lang w:val="en-US"/>
        </w:rPr>
        <w:t>E capability for new feature</w:t>
      </w:r>
    </w:p>
    <w:p w14:paraId="62B7D0B4" w14:textId="77777777" w:rsidR="00AA4AC8" w:rsidRDefault="0082369C">
      <w:pPr>
        <w:pStyle w:val="2"/>
        <w:numPr>
          <w:ilvl w:val="1"/>
          <w:numId w:val="10"/>
        </w:numPr>
        <w:rPr>
          <w:rFonts w:ascii="Times New Roman" w:eastAsiaTheme="minorEastAsia" w:hAnsi="Times New Roman"/>
          <w:b/>
          <w:kern w:val="28"/>
          <w:sz w:val="22"/>
          <w:szCs w:val="22"/>
          <w:lang w:val="en-US"/>
        </w:rPr>
      </w:pPr>
      <w:r>
        <w:rPr>
          <w:rFonts w:ascii="Times New Roman" w:eastAsiaTheme="minorEastAsia" w:hAnsi="Times New Roman"/>
          <w:b/>
          <w:kern w:val="28"/>
          <w:sz w:val="22"/>
          <w:szCs w:val="22"/>
          <w:lang w:val="en-US"/>
        </w:rPr>
        <w:t>Support more than 16 HARQ process</w:t>
      </w:r>
    </w:p>
    <w:p w14:paraId="40CE71D7"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4AF226E3" w14:textId="77777777" w:rsidR="00AA4AC8" w:rsidRDefault="0082369C">
      <w:pPr>
        <w:pStyle w:val="afc"/>
        <w:adjustRightInd w:val="0"/>
        <w:snapToGrid w:val="0"/>
        <w:ind w:left="420"/>
        <w:rPr>
          <w:rFonts w:ascii="Times New Roman" w:eastAsiaTheme="minorEastAsia" w:hAnsi="Times New Roman"/>
          <w:sz w:val="20"/>
          <w:szCs w:val="20"/>
        </w:rPr>
      </w:pPr>
      <w:r>
        <w:rPr>
          <w:rFonts w:ascii="Times New Roman" w:eastAsiaTheme="minorEastAsia" w:hAnsi="Times New Roman"/>
          <w:sz w:val="20"/>
          <w:szCs w:val="20"/>
        </w:rPr>
        <w:t>For this topic, [CATT, MTK, Xiaomi] prefer to define it as UE capability with signaling. And [Samsung] propose to select one of following two options to enable up to 32 HARQ processes without increasing the soft buffer size:</w:t>
      </w:r>
    </w:p>
    <w:p w14:paraId="46CAADE1" w14:textId="77777777" w:rsidR="00AA4AC8" w:rsidRDefault="0082369C">
      <w:pPr>
        <w:pStyle w:val="afc"/>
        <w:widowControl w:val="0"/>
        <w:numPr>
          <w:ilvl w:val="1"/>
          <w:numId w:val="26"/>
        </w:numPr>
        <w:suppressAutoHyphens/>
        <w:adjustRightInd w:val="0"/>
        <w:snapToGrid w:val="0"/>
        <w:jc w:val="both"/>
        <w:rPr>
          <w:rFonts w:ascii="Times New Roman" w:hAnsi="Times New Roman"/>
          <w:sz w:val="20"/>
        </w:rPr>
      </w:pPr>
      <w:r>
        <w:rPr>
          <w:rFonts w:ascii="Times New Roman" w:hAnsi="Times New Roman"/>
          <w:sz w:val="20"/>
        </w:rPr>
        <w:t xml:space="preserve">Option 1. gNB informs a maximum TBS and UE reports its capability for a number of HARQ processes. </w:t>
      </w:r>
    </w:p>
    <w:p w14:paraId="687D5B4A" w14:textId="77777777" w:rsidR="00AA4AC8" w:rsidRDefault="0082369C">
      <w:pPr>
        <w:pStyle w:val="afc"/>
        <w:widowControl w:val="0"/>
        <w:numPr>
          <w:ilvl w:val="1"/>
          <w:numId w:val="26"/>
        </w:numPr>
        <w:suppressAutoHyphens/>
        <w:adjustRightInd w:val="0"/>
        <w:snapToGrid w:val="0"/>
        <w:jc w:val="both"/>
        <w:rPr>
          <w:rFonts w:ascii="Times New Roman" w:hAnsi="Times New Roman"/>
          <w:sz w:val="20"/>
        </w:rPr>
      </w:pPr>
      <w:r>
        <w:rPr>
          <w:rFonts w:ascii="Times New Roman" w:hAnsi="Times New Roman"/>
          <w:sz w:val="20"/>
        </w:rPr>
        <w:t xml:space="preserve">Option 2. UE reports separate capabilities for a number of predefined pairs of {maximum number of HARQ processes, maximum TBS}. </w:t>
      </w:r>
    </w:p>
    <w:p w14:paraId="2C241BD2" w14:textId="77777777" w:rsidR="00AA4AC8" w:rsidRDefault="0082369C">
      <w:pPr>
        <w:widowControl w:val="0"/>
        <w:suppressAutoHyphens/>
        <w:snapToGrid w:val="0"/>
        <w:spacing w:beforeLines="50" w:before="120" w:after="0"/>
        <w:ind w:left="420"/>
        <w:jc w:val="both"/>
        <w:rPr>
          <w:iCs/>
        </w:rPr>
      </w:pPr>
      <w:r>
        <w:rPr>
          <w:iCs/>
        </w:rPr>
        <w:t xml:space="preserve">From moderator’s perspective, it’s reasonable to define the new UE capability with signalling for 32 HARQ processes, </w:t>
      </w:r>
      <w:r>
        <w:rPr>
          <w:iCs/>
        </w:rPr>
        <w:lastRenderedPageBreak/>
        <w:t xml:space="preserve">which can also address the concerns on the buffer size, e.g., for NTN scenario with </w:t>
      </w:r>
      <w:r>
        <w:rPr>
          <w:rFonts w:hint="eastAsia"/>
          <w:iCs/>
        </w:rPr>
        <w:t>conservative</w:t>
      </w:r>
      <w:r>
        <w:rPr>
          <w:iCs/>
        </w:rPr>
        <w:t xml:space="preserve"> scheduling (e.g., non-CA, lower RANK), supports of up to 32 HARQ processes can be reported to network. Once the following proposal can be concluded, updates on the UE capability in AI 8.16.4 via </w:t>
      </w:r>
      <w:r>
        <w:rPr>
          <w:highlight w:val="cyan"/>
        </w:rPr>
        <w:t>[107-e-R17-UE-features-NR-NTN-01]</w:t>
      </w:r>
      <w:r>
        <w:rPr>
          <w:iCs/>
        </w:rPr>
        <w:t xml:space="preserve"> is expected:</w:t>
      </w:r>
    </w:p>
    <w:p w14:paraId="004C1D63" w14:textId="77777777" w:rsidR="00AA4AC8" w:rsidRDefault="0082369C">
      <w:pPr>
        <w:snapToGrid w:val="0"/>
        <w:spacing w:beforeLines="50" w:before="120" w:afterLines="50" w:after="120"/>
        <w:ind w:left="424"/>
        <w:rPr>
          <w:iCs/>
          <w:highlight w:val="yellow"/>
        </w:rPr>
      </w:pPr>
      <w:r>
        <w:rPr>
          <w:b/>
          <w:color w:val="000000" w:themeColor="text1"/>
          <w:highlight w:val="yellow"/>
        </w:rPr>
        <w:t>[Initial Proposal 5.1.1</w:t>
      </w:r>
      <w:r>
        <w:rPr>
          <w:rFonts w:hint="eastAsia"/>
          <w:iCs/>
          <w:highlight w:val="yellow"/>
        </w:rPr>
        <w:t>]</w:t>
      </w:r>
      <w:r>
        <w:rPr>
          <w:iCs/>
          <w:highlight w:val="yellow"/>
        </w:rPr>
        <w:t>:</w:t>
      </w:r>
    </w:p>
    <w:p w14:paraId="03100721" w14:textId="77777777" w:rsidR="00AA4AC8" w:rsidRDefault="0082369C">
      <w:pPr>
        <w:snapToGrid w:val="0"/>
        <w:spacing w:beforeLines="50" w:before="120" w:afterLines="50" w:after="120"/>
        <w:ind w:left="424"/>
        <w:rPr>
          <w:iCs/>
        </w:rPr>
      </w:pPr>
      <w:r>
        <w:rPr>
          <w:iCs/>
          <w:highlight w:val="yellow"/>
        </w:rPr>
        <w:t>The new UE capability with signalling is defined for the support of 32 HARQ process.</w:t>
      </w:r>
    </w:p>
    <w:p w14:paraId="18EE3E41" w14:textId="77777777" w:rsidR="00AA4AC8" w:rsidRDefault="0082369C">
      <w:pPr>
        <w:snapToGrid w:val="0"/>
        <w:spacing w:beforeLines="50" w:before="120" w:afterLines="50" w:after="120"/>
        <w:ind w:left="424"/>
        <w:rPr>
          <w:iCs/>
        </w:rPr>
      </w:pPr>
      <w:r>
        <w:rPr>
          <w:iCs/>
        </w:rPr>
        <w:t>Please share your views on this proposal and potential way forward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71344CB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D70D7C"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32D0563" w14:textId="77777777" w:rsidR="00AA4AC8" w:rsidRDefault="0082369C">
            <w:pPr>
              <w:jc w:val="center"/>
              <w:rPr>
                <w:b/>
                <w:sz w:val="28"/>
              </w:rPr>
            </w:pPr>
            <w:r>
              <w:rPr>
                <w:b/>
                <w:sz w:val="22"/>
              </w:rPr>
              <w:t>Comments and Views</w:t>
            </w:r>
          </w:p>
        </w:tc>
      </w:tr>
      <w:tr w:rsidR="00AA4AC8" w14:paraId="303EB2E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6EFA74"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28B2CB4" w14:textId="77777777" w:rsidR="00AA4AC8" w:rsidRDefault="0082369C">
            <w:pPr>
              <w:snapToGrid w:val="0"/>
            </w:pPr>
            <w:r>
              <w:t>Support, but in general this discussion should be taken as part of the UE capability discussions.</w:t>
            </w:r>
          </w:p>
        </w:tc>
      </w:tr>
      <w:tr w:rsidR="00AA4AC8" w14:paraId="0FB26B8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624CFE"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06308D89"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54D3614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D4F58F" w14:textId="77777777" w:rsidR="00AA4AC8" w:rsidRDefault="0082369C">
            <w:pPr>
              <w:jc w:val="center"/>
              <w:rPr>
                <w:rFonts w:eastAsiaTheme="minorEastAsia" w:cs="Arial"/>
              </w:rPr>
            </w:pPr>
            <w:r>
              <w:rPr>
                <w:rFonts w:eastAsia="MS Mincho" w:cs="Arial"/>
              </w:rPr>
              <w:t xml:space="preserve">Panasonic </w:t>
            </w:r>
          </w:p>
        </w:tc>
        <w:tc>
          <w:tcPr>
            <w:tcW w:w="6840" w:type="dxa"/>
            <w:tcBorders>
              <w:top w:val="single" w:sz="4" w:space="0" w:color="auto"/>
              <w:left w:val="single" w:sz="4" w:space="0" w:color="auto"/>
              <w:bottom w:val="single" w:sz="4" w:space="0" w:color="auto"/>
              <w:right w:val="single" w:sz="4" w:space="0" w:color="auto"/>
            </w:tcBorders>
            <w:vAlign w:val="center"/>
          </w:tcPr>
          <w:p w14:paraId="66DD5A05" w14:textId="77777777" w:rsidR="00AA4AC8" w:rsidRDefault="0082369C">
            <w:pPr>
              <w:snapToGrid w:val="0"/>
              <w:rPr>
                <w:rFonts w:eastAsiaTheme="minorEastAsia"/>
              </w:rPr>
            </w:pPr>
            <w:r>
              <w:rPr>
                <w:rFonts w:eastAsia="MS Mincho"/>
              </w:rPr>
              <w:t xml:space="preserve">Support </w:t>
            </w:r>
          </w:p>
        </w:tc>
      </w:tr>
      <w:tr w:rsidR="00AA4AC8" w14:paraId="0607807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48F854"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66B862F" w14:textId="77777777" w:rsidR="00AA4AC8" w:rsidRDefault="0082369C">
            <w:pPr>
              <w:snapToGrid w:val="0"/>
            </w:pPr>
            <w:r>
              <w:t>Support. It may be discussed in UE feature.</w:t>
            </w:r>
          </w:p>
        </w:tc>
      </w:tr>
      <w:tr w:rsidR="00AA4AC8" w14:paraId="42A2D84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8D8CC7E"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029E77F"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6F8FDB1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5070F6"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350A84A7" w14:textId="77777777" w:rsidR="00AA4AC8" w:rsidRDefault="0082369C">
            <w:pPr>
              <w:snapToGrid w:val="0"/>
              <w:rPr>
                <w:rFonts w:eastAsiaTheme="minorEastAsia"/>
              </w:rPr>
            </w:pPr>
            <w:r>
              <w:rPr>
                <w:rFonts w:eastAsiaTheme="minorEastAsia"/>
              </w:rPr>
              <w:t>Support</w:t>
            </w:r>
          </w:p>
        </w:tc>
      </w:tr>
      <w:tr w:rsidR="00AA4AC8" w14:paraId="436943C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D54584" w14:textId="77777777" w:rsidR="00AA4AC8" w:rsidRDefault="0082369C">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1CD8C77A" w14:textId="77777777" w:rsidR="00AA4AC8" w:rsidRDefault="0082369C">
            <w:pPr>
              <w:snapToGrid w:val="0"/>
              <w:rPr>
                <w:rFonts w:eastAsiaTheme="minorEastAsia"/>
              </w:rPr>
            </w:pPr>
            <w:r>
              <w:rPr>
                <w:rFonts w:eastAsiaTheme="minorEastAsia"/>
              </w:rPr>
              <w:t>Support</w:t>
            </w:r>
          </w:p>
        </w:tc>
      </w:tr>
      <w:tr w:rsidR="00AA4AC8" w14:paraId="4CC27579"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5AD6F4"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FF5336C" w14:textId="77777777" w:rsidR="00AA4AC8" w:rsidRDefault="0082369C">
            <w:pPr>
              <w:snapToGrid w:val="0"/>
              <w:rPr>
                <w:rFonts w:eastAsiaTheme="minorEastAsia"/>
              </w:rPr>
            </w:pPr>
            <w:r>
              <w:rPr>
                <w:rFonts w:eastAsiaTheme="minorEastAsia"/>
              </w:rPr>
              <w:t>Support</w:t>
            </w:r>
          </w:p>
        </w:tc>
      </w:tr>
      <w:tr w:rsidR="00AA4AC8" w14:paraId="675EABF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21887C" w14:textId="77777777" w:rsidR="00AA4AC8" w:rsidRDefault="0082369C">
            <w:pPr>
              <w:jc w:val="center"/>
              <w:rPr>
                <w:rFonts w:eastAsiaTheme="minorEastAsia" w:cs="Arial"/>
              </w:rPr>
            </w:pPr>
            <w:r>
              <w:rPr>
                <w:rFonts w:eastAsiaTheme="minorEastAsia"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307DDB9C" w14:textId="77777777" w:rsidR="00AA4AC8" w:rsidRDefault="0082369C">
            <w:pPr>
              <w:snapToGrid w:val="0"/>
              <w:rPr>
                <w:rFonts w:eastAsiaTheme="minorEastAsia"/>
              </w:rPr>
            </w:pPr>
            <w:r>
              <w:rPr>
                <w:rFonts w:eastAsiaTheme="minorEastAsia"/>
              </w:rPr>
              <w:t>Support</w:t>
            </w:r>
          </w:p>
        </w:tc>
      </w:tr>
      <w:tr w:rsidR="00AA4AC8" w14:paraId="0FFB134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F8EB38" w14:textId="77777777" w:rsidR="00AA4AC8" w:rsidRDefault="0082369C">
            <w:pPr>
              <w:jc w:val="center"/>
              <w:rPr>
                <w:rFonts w:eastAsiaTheme="minorEastAsia" w:cs="Arial"/>
              </w:rPr>
            </w:pPr>
            <w:r>
              <w:rPr>
                <w:rFonts w:eastAsiaTheme="minorEastAsia" w:cs="Arial"/>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96482CF"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6EEE692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1F1044"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78BFBE24" w14:textId="77777777" w:rsidR="00AA4AC8" w:rsidRDefault="0082369C">
            <w:pPr>
              <w:snapToGrid w:val="0"/>
              <w:rPr>
                <w:rFonts w:eastAsiaTheme="minorEastAsia"/>
              </w:rPr>
            </w:pPr>
            <w:r>
              <w:rPr>
                <w:rFonts w:eastAsiaTheme="minorEastAsia"/>
              </w:rPr>
              <w:t>Support the FL proposal but do we have to address this as an agreement here?</w:t>
            </w:r>
          </w:p>
        </w:tc>
      </w:tr>
      <w:tr w:rsidR="00AA4AC8" w14:paraId="22EE181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45FE86" w14:textId="77777777" w:rsidR="00AA4AC8" w:rsidRDefault="0082369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7423B69" w14:textId="77777777" w:rsidR="00AA4AC8" w:rsidRDefault="0082369C">
            <w:pPr>
              <w:snapToGrid w:val="0"/>
              <w:rPr>
                <w:rFonts w:eastAsiaTheme="minorEastAsia"/>
              </w:rPr>
            </w:pPr>
            <w:r>
              <w:rPr>
                <w:rFonts w:eastAsia="MS Mincho" w:hint="eastAsia"/>
                <w:lang w:eastAsia="ja-JP"/>
              </w:rPr>
              <w:t>S</w:t>
            </w:r>
            <w:r>
              <w:rPr>
                <w:rFonts w:eastAsia="MS Mincho"/>
                <w:lang w:eastAsia="ja-JP"/>
              </w:rPr>
              <w:t>upport the proposal.</w:t>
            </w:r>
          </w:p>
        </w:tc>
      </w:tr>
      <w:tr w:rsidR="00AA4AC8" w14:paraId="2D70183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1F083E"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788BFCD9" w14:textId="77777777" w:rsidR="00AA4AC8" w:rsidRDefault="0082369C">
            <w:pPr>
              <w:snapToGrid w:val="0"/>
              <w:rPr>
                <w:rFonts w:eastAsiaTheme="minorEastAsia"/>
              </w:rPr>
            </w:pPr>
            <w:r>
              <w:rPr>
                <w:rFonts w:eastAsiaTheme="minorEastAsia"/>
              </w:rPr>
              <w:t>Support.</w:t>
            </w:r>
          </w:p>
        </w:tc>
      </w:tr>
      <w:tr w:rsidR="00AA4AC8" w14:paraId="67FC162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5E4B9A"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C872750"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0DBDBDC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E9E9BF" w14:textId="77777777" w:rsidR="00AA4AC8" w:rsidRDefault="0082369C">
            <w:pPr>
              <w:jc w:val="center"/>
              <w:rPr>
                <w:rFonts w:eastAsia="MS Mincho" w:cs="Arial"/>
                <w:lang w:eastAsia="ja-JP"/>
              </w:rPr>
            </w:pPr>
            <w:r>
              <w:rPr>
                <w:rFonts w:eastAsia="Malgun Gothic" w:cs="Arial" w:hint="eastAsia"/>
                <w:lang w:eastAsia="ko-KR"/>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44B92498" w14:textId="77777777" w:rsidR="00AA4AC8" w:rsidRDefault="0082369C">
            <w:pPr>
              <w:snapToGrid w:val="0"/>
              <w:rPr>
                <w:rFonts w:eastAsia="MS Mincho"/>
                <w:lang w:eastAsia="ja-JP"/>
              </w:rPr>
            </w:pPr>
            <w:r>
              <w:rPr>
                <w:rFonts w:eastAsia="Malgun Gothic" w:hint="eastAsia"/>
                <w:lang w:eastAsia="ko-KR"/>
              </w:rPr>
              <w:t>Support</w:t>
            </w:r>
            <w:r>
              <w:rPr>
                <w:rFonts w:eastAsia="Malgun Gothic"/>
                <w:lang w:eastAsia="ko-KR"/>
              </w:rPr>
              <w:t>. Agree with Apple and Huawei, we think it can be discussed in UE feature.</w:t>
            </w:r>
          </w:p>
        </w:tc>
      </w:tr>
      <w:tr w:rsidR="00AA4AC8" w14:paraId="147BE90B"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25431F" w14:textId="77777777" w:rsidR="00AA4AC8" w:rsidRDefault="0082369C">
            <w:pPr>
              <w:jc w:val="center"/>
              <w:rPr>
                <w:rFonts w:eastAsia="Malgun Gothic" w:cs="Arial"/>
                <w:lang w:eastAsia="ko-KR"/>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78CC3F9" w14:textId="77777777" w:rsidR="00AA4AC8" w:rsidRDefault="0082369C">
            <w:pPr>
              <w:snapToGrid w:val="0"/>
              <w:ind w:left="360"/>
            </w:pPr>
            <w:r>
              <w:t>We agree that the support of 32 HARQ processes is a UE capability but are not sure what “UE capability with signalling” means and if there is any difference compared to what is already proposed for the UE capability in AI 8.16.4.</w:t>
            </w:r>
          </w:p>
          <w:p w14:paraId="3E46D46A" w14:textId="77777777" w:rsidR="00AA4AC8" w:rsidRDefault="0082369C">
            <w:pPr>
              <w:snapToGrid w:val="0"/>
              <w:ind w:left="360"/>
            </w:pPr>
            <w:r>
              <w:t>We suggest we copy the text in the agreement from RAN1#102-e but without “FFS“:</w:t>
            </w:r>
          </w:p>
          <w:p w14:paraId="3E4FBFBF" w14:textId="77777777" w:rsidR="00AA4AC8" w:rsidRDefault="0082369C">
            <w:pPr>
              <w:snapToGrid w:val="0"/>
              <w:rPr>
                <w:rFonts w:eastAsia="Malgun Gothic"/>
                <w:lang w:eastAsia="ko-KR"/>
              </w:rPr>
            </w:pPr>
            <w:r>
              <w:rPr>
                <w:highlight w:val="yellow"/>
              </w:rPr>
              <w:t>“Support on the maximal HARQ process number is up to UE capability.”</w:t>
            </w:r>
          </w:p>
        </w:tc>
      </w:tr>
      <w:tr w:rsidR="00AA4AC8" w14:paraId="706D6B6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A7F8A0" w14:textId="77777777" w:rsidR="00AA4AC8" w:rsidRDefault="0082369C">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76FA03B7" w14:textId="77777777" w:rsidR="00AA4AC8" w:rsidRDefault="0082369C">
            <w:pPr>
              <w:snapToGrid w:val="0"/>
              <w:ind w:left="360"/>
            </w:pPr>
            <w:r>
              <w:t>Support. We think it is good to make this agreement in this track. This simplifies the UE feature discussion.</w:t>
            </w:r>
          </w:p>
        </w:tc>
      </w:tr>
    </w:tbl>
    <w:p w14:paraId="30BE4C39"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Updated based on the email discussion [Round-2 via email reflector]</w:t>
      </w:r>
    </w:p>
    <w:p w14:paraId="0F7EFFA6" w14:textId="77777777" w:rsidR="00AA4AC8" w:rsidRDefault="0082369C">
      <w:r>
        <w:t>For this topic, it seems that all companies are fine with this direction to simply define the UE’s capability on maximal HARQ process number without other enhancement or complicated solution. Then, with consideration on the proposal from Ericsson, the updated proposal is listed below. Companies can share their technical views via the reflector.</w:t>
      </w:r>
    </w:p>
    <w:p w14:paraId="16224E16" w14:textId="77777777" w:rsidR="00AA4AC8" w:rsidRDefault="0082369C">
      <w:pPr>
        <w:pStyle w:val="afc"/>
        <w:snapToGrid w:val="0"/>
        <w:ind w:left="0"/>
        <w:rPr>
          <w:rFonts w:ascii="Times New Roman" w:hAnsi="Times New Roman"/>
          <w:iCs/>
          <w:sz w:val="21"/>
          <w:szCs w:val="20"/>
          <w:highlight w:val="cyan"/>
        </w:rPr>
      </w:pPr>
      <w:r>
        <w:rPr>
          <w:rFonts w:ascii="Times New Roman" w:hAnsi="Times New Roman"/>
          <w:b/>
          <w:color w:val="000000" w:themeColor="text1"/>
          <w:sz w:val="21"/>
          <w:szCs w:val="20"/>
          <w:highlight w:val="cyan"/>
        </w:rPr>
        <w:lastRenderedPageBreak/>
        <w:t>[Updated Proposal 5.1.1</w:t>
      </w:r>
      <w:r>
        <w:rPr>
          <w:rFonts w:ascii="Times New Roman" w:hAnsi="Times New Roman"/>
          <w:iCs/>
          <w:sz w:val="21"/>
          <w:szCs w:val="20"/>
          <w:highlight w:val="cyan"/>
        </w:rPr>
        <w:t xml:space="preserve">]: </w:t>
      </w:r>
    </w:p>
    <w:p w14:paraId="3D1A601C" w14:textId="77777777" w:rsidR="00AA4AC8" w:rsidRDefault="0082369C">
      <w:pPr>
        <w:pStyle w:val="afc"/>
        <w:snapToGrid w:val="0"/>
        <w:ind w:left="0"/>
        <w:rPr>
          <w:rFonts w:ascii="Times New Roman" w:eastAsiaTheme="minorEastAsia" w:hAnsi="Times New Roman"/>
          <w:sz w:val="21"/>
          <w:szCs w:val="20"/>
        </w:rPr>
      </w:pPr>
      <w:r>
        <w:rPr>
          <w:rFonts w:ascii="Times New Roman" w:hAnsi="Times New Roman"/>
          <w:sz w:val="21"/>
          <w:szCs w:val="20"/>
          <w:highlight w:val="cyan"/>
        </w:rPr>
        <w:t>Support on the maximal HARQ process number is up to UE capability.</w:t>
      </w:r>
      <w:r>
        <w:rPr>
          <w:rFonts w:ascii="Times New Roman" w:eastAsiaTheme="minorEastAsia" w:hAnsi="Times New Roman"/>
          <w:sz w:val="21"/>
          <w:szCs w:val="20"/>
        </w:rPr>
        <w:tab/>
      </w:r>
    </w:p>
    <w:p w14:paraId="37E5DBE7" w14:textId="77777777" w:rsidR="00AA4AC8" w:rsidRDefault="0082369C">
      <w:pPr>
        <w:pStyle w:val="2"/>
        <w:numPr>
          <w:ilvl w:val="1"/>
          <w:numId w:val="10"/>
        </w:numPr>
        <w:rPr>
          <w:rFonts w:ascii="Times New Roman" w:eastAsiaTheme="minorEastAsia" w:hAnsi="Times New Roman"/>
          <w:b/>
          <w:kern w:val="28"/>
          <w:sz w:val="22"/>
          <w:szCs w:val="22"/>
          <w:lang w:val="en-US"/>
        </w:rPr>
      </w:pPr>
      <w:r>
        <w:rPr>
          <w:rFonts w:ascii="Times New Roman" w:eastAsiaTheme="minorEastAsia" w:hAnsi="Times New Roman"/>
          <w:b/>
          <w:kern w:val="28"/>
          <w:sz w:val="22"/>
          <w:szCs w:val="22"/>
          <w:lang w:val="en-US"/>
        </w:rPr>
        <w:t>UE’s behaviour on LLR combination for the retransmissions for TBs with disabled HARQ feedback</w:t>
      </w:r>
    </w:p>
    <w:p w14:paraId="0831FC92"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00B323BE" w14:textId="77777777" w:rsidR="00AA4AC8" w:rsidRDefault="0082369C">
      <w:pPr>
        <w:pStyle w:val="afc"/>
        <w:adjustRightInd w:val="0"/>
        <w:snapToGrid w:val="0"/>
        <w:spacing w:beforeLines="50" w:before="120" w:afterLines="50" w:after="120"/>
        <w:ind w:left="420"/>
        <w:rPr>
          <w:rFonts w:ascii="Times New Roman" w:eastAsiaTheme="minorEastAsia" w:hAnsi="Times New Roman"/>
          <w:sz w:val="20"/>
          <w:szCs w:val="20"/>
        </w:rPr>
      </w:pPr>
      <w:r>
        <w:rPr>
          <w:rFonts w:ascii="Times New Roman" w:eastAsiaTheme="minorEastAsia" w:hAnsi="Times New Roman"/>
          <w:sz w:val="20"/>
          <w:szCs w:val="20"/>
        </w:rPr>
        <w:t xml:space="preserve">For this topic, </w:t>
      </w:r>
    </w:p>
    <w:p w14:paraId="736ED410" w14:textId="77777777" w:rsidR="00AA4AC8" w:rsidRDefault="0082369C">
      <w:pPr>
        <w:pStyle w:val="afc"/>
        <w:numPr>
          <w:ilvl w:val="1"/>
          <w:numId w:val="26"/>
        </w:numPr>
        <w:adjustRightInd w:val="0"/>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[Ericsson] propose that RAN1 should conclude that the configuration of HARQ feedback as enabled or disabled does not impact the UE capability to buffer and combine HARQ retransmissions. </w:t>
      </w:r>
    </w:p>
    <w:p w14:paraId="7DCA51D0" w14:textId="77777777" w:rsidR="00AA4AC8" w:rsidRDefault="0082369C">
      <w:pPr>
        <w:pStyle w:val="afc"/>
        <w:numPr>
          <w:ilvl w:val="1"/>
          <w:numId w:val="26"/>
        </w:numPr>
        <w:adjustRightInd w:val="0"/>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 xml:space="preserve">[Samsung] propose to support either </w:t>
      </w:r>
      <w:r>
        <w:rPr>
          <w:rFonts w:ascii="Times New Roman" w:eastAsiaTheme="minorEastAsia" w:hAnsi="Times New Roman"/>
          <w:i/>
          <w:sz w:val="20"/>
          <w:szCs w:val="20"/>
          <w:u w:val="single"/>
        </w:rPr>
        <w:t>for a UE to not expect retransmissions of TBs with disabled HARQ-ACK reports</w:t>
      </w:r>
      <w:r>
        <w:rPr>
          <w:rFonts w:ascii="Times New Roman" w:eastAsiaTheme="minorEastAsia" w:hAnsi="Times New Roman"/>
          <w:sz w:val="20"/>
          <w:szCs w:val="20"/>
        </w:rPr>
        <w:t xml:space="preserve"> or </w:t>
      </w:r>
      <w:r>
        <w:rPr>
          <w:rFonts w:ascii="Times New Roman" w:eastAsiaTheme="minorEastAsia" w:hAnsi="Times New Roman"/>
          <w:i/>
          <w:sz w:val="20"/>
          <w:szCs w:val="20"/>
          <w:u w:val="single"/>
        </w:rPr>
        <w:t>for a UE to provide capability signaling for whether it can store LLRs of TBs with disabled HARQ-ACK reports</w:t>
      </w:r>
      <w:r>
        <w:rPr>
          <w:rFonts w:ascii="Times New Roman" w:eastAsiaTheme="minorEastAsia" w:hAnsi="Times New Roman"/>
          <w:i/>
          <w:sz w:val="20"/>
          <w:szCs w:val="20"/>
        </w:rPr>
        <w:t>.</w:t>
      </w:r>
    </w:p>
    <w:p w14:paraId="55B1826F" w14:textId="77777777" w:rsidR="00AA4AC8" w:rsidRDefault="0082369C">
      <w:pPr>
        <w:pStyle w:val="afc"/>
        <w:adjustRightInd w:val="0"/>
        <w:snapToGrid w:val="0"/>
        <w:spacing w:beforeLines="50" w:before="120" w:afterLines="50" w:after="120"/>
        <w:ind w:left="840"/>
        <w:rPr>
          <w:rFonts w:ascii="Times New Roman" w:eastAsiaTheme="minorEastAsia" w:hAnsi="Times New Roman"/>
          <w:sz w:val="20"/>
          <w:szCs w:val="20"/>
        </w:rPr>
      </w:pPr>
      <w:r>
        <w:rPr>
          <w:rFonts w:ascii="Times New Roman" w:eastAsiaTheme="minorEastAsia" w:hAnsi="Times New Roman"/>
          <w:sz w:val="20"/>
          <w:szCs w:val="20"/>
        </w:rPr>
        <w:t>Furthermore, support UE assistance information to indicate full soft buffer or to request HARQ-ACK enabling/disabling for HARQ processes is also proposed to address this issue.</w:t>
      </w:r>
    </w:p>
    <w:p w14:paraId="15E5CF7E" w14:textId="77777777" w:rsidR="00AA4AC8" w:rsidRDefault="0082369C">
      <w:pPr>
        <w:pStyle w:val="afc"/>
        <w:numPr>
          <w:ilvl w:val="1"/>
          <w:numId w:val="26"/>
        </w:numPr>
        <w:adjustRightInd w:val="0"/>
        <w:snapToGrid w:val="0"/>
        <w:spacing w:beforeLines="50" w:before="120" w:afterLines="50" w:after="120"/>
        <w:rPr>
          <w:rFonts w:ascii="Times New Roman" w:eastAsiaTheme="minorEastAsia" w:hAnsi="Times New Roman"/>
          <w:sz w:val="20"/>
          <w:szCs w:val="20"/>
        </w:rPr>
      </w:pPr>
      <w:r>
        <w:rPr>
          <w:rFonts w:ascii="Times New Roman" w:eastAsiaTheme="minorEastAsia" w:hAnsi="Times New Roman"/>
          <w:sz w:val="20"/>
          <w:szCs w:val="20"/>
        </w:rPr>
        <w:t>[CMCC, Baicell] highlights that such behavior should be up to UE’s implementation.</w:t>
      </w:r>
    </w:p>
    <w:p w14:paraId="2C55CF38" w14:textId="77777777" w:rsidR="00AA4AC8" w:rsidRDefault="0082369C">
      <w:pPr>
        <w:snapToGrid w:val="0"/>
        <w:spacing w:beforeLines="50" w:before="120" w:afterLines="50" w:after="120"/>
        <w:ind w:left="424"/>
        <w:rPr>
          <w:iCs/>
        </w:rPr>
      </w:pPr>
      <w:r>
        <w:rPr>
          <w:iCs/>
        </w:rPr>
        <w:t>From moderator’s perspective, the intention to introduce the feature to enable the HARQ-feedback disabling is to resolve the HARQ stabling issue without increasing soft-buffer for the UE’s implementation. Then, it’s preferred to keep such issue to UE’s implementation regardless of whether more HARQ process is supported or not.</w:t>
      </w:r>
    </w:p>
    <w:p w14:paraId="72FB64E4" w14:textId="77777777" w:rsidR="00AA4AC8" w:rsidRDefault="0082369C">
      <w:pPr>
        <w:snapToGrid w:val="0"/>
        <w:spacing w:beforeLines="50" w:before="120" w:afterLines="50" w:after="120"/>
        <w:ind w:left="424"/>
        <w:rPr>
          <w:iCs/>
          <w:highlight w:val="yellow"/>
        </w:rPr>
      </w:pPr>
      <w:r>
        <w:rPr>
          <w:b/>
          <w:color w:val="000000" w:themeColor="text1"/>
          <w:highlight w:val="yellow"/>
        </w:rPr>
        <w:t xml:space="preserve"> [Initial Proposal 5.2.1</w:t>
      </w:r>
      <w:r>
        <w:rPr>
          <w:iCs/>
          <w:highlight w:val="yellow"/>
        </w:rPr>
        <w:t xml:space="preserve"> (As conclusion)</w:t>
      </w:r>
      <w:r>
        <w:rPr>
          <w:rFonts w:hint="eastAsia"/>
          <w:iCs/>
          <w:highlight w:val="yellow"/>
        </w:rPr>
        <w:t>]</w:t>
      </w:r>
      <w:r>
        <w:rPr>
          <w:iCs/>
          <w:highlight w:val="yellow"/>
        </w:rPr>
        <w:t>:</w:t>
      </w:r>
    </w:p>
    <w:p w14:paraId="315A7EF5" w14:textId="77777777" w:rsidR="00AA4AC8" w:rsidRDefault="0082369C">
      <w:pPr>
        <w:snapToGrid w:val="0"/>
        <w:spacing w:beforeLines="50" w:before="120" w:afterLines="50" w:after="120"/>
        <w:ind w:left="424"/>
        <w:rPr>
          <w:iCs/>
        </w:rPr>
      </w:pPr>
      <w:r>
        <w:rPr>
          <w:rFonts w:hint="eastAsia"/>
          <w:iCs/>
          <w:highlight w:val="yellow"/>
        </w:rPr>
        <w:t xml:space="preserve">Regarding the retransmissions for TBs with disabled HARQ feedback, </w:t>
      </w:r>
      <w:r>
        <w:rPr>
          <w:iCs/>
          <w:highlight w:val="yellow"/>
        </w:rPr>
        <w:t>the LLR combination is up to the UE’s implementation.</w:t>
      </w:r>
    </w:p>
    <w:p w14:paraId="77C547DB" w14:textId="77777777" w:rsidR="00AA4AC8" w:rsidRDefault="0082369C">
      <w:pPr>
        <w:snapToGrid w:val="0"/>
        <w:spacing w:beforeLines="50" w:before="120" w:afterLines="50" w:after="120"/>
        <w:ind w:left="424"/>
        <w:rPr>
          <w:iCs/>
        </w:rPr>
      </w:pPr>
      <w:r>
        <w:rPr>
          <w:iCs/>
        </w:rPr>
        <w:t>Please share your views on this proposal and potential way forward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794FC50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628801"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6D087A7B" w14:textId="77777777" w:rsidR="00AA4AC8" w:rsidRDefault="0082369C">
            <w:pPr>
              <w:jc w:val="center"/>
              <w:rPr>
                <w:b/>
                <w:sz w:val="28"/>
              </w:rPr>
            </w:pPr>
            <w:r>
              <w:rPr>
                <w:b/>
                <w:sz w:val="22"/>
              </w:rPr>
              <w:t>Comments and Views</w:t>
            </w:r>
          </w:p>
        </w:tc>
      </w:tr>
      <w:tr w:rsidR="00AA4AC8" w14:paraId="347B46D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45AF2D"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05E15E9" w14:textId="77777777" w:rsidR="00AA4AC8" w:rsidRDefault="0082369C">
            <w:pPr>
              <w:snapToGrid w:val="0"/>
            </w:pPr>
            <w:r>
              <w:t>As long as this would not impact any demodulation requirements, we could support this.</w:t>
            </w:r>
          </w:p>
        </w:tc>
      </w:tr>
      <w:tr w:rsidR="00AA4AC8" w14:paraId="764EDB42"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596C9D"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19A8A857" w14:textId="77777777" w:rsidR="00AA4AC8" w:rsidRDefault="0082369C">
            <w:pPr>
              <w:snapToGrid w:val="0"/>
              <w:rPr>
                <w:rFonts w:eastAsiaTheme="minorEastAsia"/>
              </w:rPr>
            </w:pPr>
            <w:r>
              <w:rPr>
                <w:rFonts w:eastAsiaTheme="minorEastAsia" w:hint="eastAsia"/>
              </w:rPr>
              <w:t>W</w:t>
            </w:r>
            <w:r>
              <w:rPr>
                <w:rFonts w:eastAsiaTheme="minorEastAsia"/>
              </w:rPr>
              <w:t>e share same view as Nokia.</w:t>
            </w:r>
          </w:p>
        </w:tc>
      </w:tr>
      <w:tr w:rsidR="00AA4AC8" w14:paraId="6C40F8C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3E6205"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56433B26" w14:textId="77777777" w:rsidR="00AA4AC8" w:rsidRDefault="0082369C">
            <w:pPr>
              <w:snapToGrid w:val="0"/>
              <w:rPr>
                <w:rFonts w:eastAsiaTheme="minorEastAsia"/>
              </w:rPr>
            </w:pPr>
            <w:r>
              <w:rPr>
                <w:rFonts w:eastAsia="MS Mincho"/>
              </w:rPr>
              <w:t xml:space="preserve">We think UE report on whether to store LLS of TBs with feedback-disabled process as proposed by Samsung would help gNB scheduler to determine appropriate retransmission parameters. But, we are also ok with the initial proposal 5.2.1. </w:t>
            </w:r>
          </w:p>
        </w:tc>
      </w:tr>
      <w:tr w:rsidR="00AA4AC8" w14:paraId="36D113A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39480D9" w14:textId="77777777" w:rsidR="00AA4AC8" w:rsidRDefault="0082369C">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31FD23C" w14:textId="77777777" w:rsidR="00AA4AC8" w:rsidRDefault="0082369C">
            <w:pPr>
              <w:snapToGrid w:val="0"/>
            </w:pPr>
            <w:r>
              <w:t>Fine with the proposal.</w:t>
            </w:r>
          </w:p>
        </w:tc>
      </w:tr>
      <w:tr w:rsidR="00AA4AC8" w14:paraId="3F24A5D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DEAB413"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000AF34E" w14:textId="77777777" w:rsidR="00AA4AC8" w:rsidRDefault="0082369C">
            <w:pPr>
              <w:snapToGrid w:val="0"/>
              <w:rPr>
                <w:rFonts w:eastAsiaTheme="minorEastAsia"/>
              </w:rPr>
            </w:pPr>
            <w:r>
              <w:rPr>
                <w:rFonts w:eastAsiaTheme="minorEastAsia" w:hint="eastAsia"/>
              </w:rPr>
              <w:t>S</w:t>
            </w:r>
            <w:r>
              <w:rPr>
                <w:rFonts w:eastAsiaTheme="minorEastAsia"/>
              </w:rPr>
              <w:t>upport, no additional impacts on RAN1~4 spec is foreseen.</w:t>
            </w:r>
          </w:p>
        </w:tc>
      </w:tr>
      <w:tr w:rsidR="00AA4AC8" w14:paraId="69258CD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FC07C5"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EC2FB0B"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1D8C99B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981420"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5490689" w14:textId="77777777" w:rsidR="00AA4AC8" w:rsidRDefault="0082369C">
            <w:pPr>
              <w:snapToGrid w:val="0"/>
              <w:rPr>
                <w:rFonts w:eastAsiaTheme="minorEastAsia"/>
              </w:rPr>
            </w:pPr>
            <w:r>
              <w:rPr>
                <w:rFonts w:eastAsiaTheme="minorEastAsia"/>
              </w:rPr>
              <w:t xml:space="preserve">The issue is not whether LLR combining is up to the UE, but whether or not the UE can discard LLRs for HARQ processes with disabled HARQ-ACK without the gNB knowing. We propose that the UE informs the gNB whether or not the UE keeps LLRs for HARQ processes with disabled HARQ-ACK.  </w:t>
            </w:r>
          </w:p>
        </w:tc>
      </w:tr>
      <w:tr w:rsidR="00AA4AC8" w14:paraId="24F0350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F233E3" w14:textId="77777777" w:rsidR="00AA4AC8" w:rsidRDefault="0082369C">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27BD5199" w14:textId="77777777" w:rsidR="00AA4AC8" w:rsidRDefault="0082369C">
            <w:pPr>
              <w:snapToGrid w:val="0"/>
              <w:rPr>
                <w:rFonts w:eastAsiaTheme="minorEastAsia"/>
              </w:rPr>
            </w:pPr>
            <w:r>
              <w:rPr>
                <w:rFonts w:eastAsiaTheme="minorEastAsia"/>
              </w:rPr>
              <w:t>Support</w:t>
            </w:r>
          </w:p>
        </w:tc>
      </w:tr>
      <w:tr w:rsidR="00AA4AC8" w14:paraId="17392356"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2EE3DF"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57E8C0CB" w14:textId="77777777" w:rsidR="00AA4AC8" w:rsidRDefault="0082369C">
            <w:pPr>
              <w:snapToGrid w:val="0"/>
              <w:rPr>
                <w:rFonts w:eastAsiaTheme="minorEastAsia"/>
              </w:rPr>
            </w:pPr>
            <w:r>
              <w:rPr>
                <w:rFonts w:eastAsiaTheme="minorEastAsia"/>
              </w:rPr>
              <w:t>Support</w:t>
            </w:r>
          </w:p>
        </w:tc>
      </w:tr>
      <w:tr w:rsidR="00AA4AC8" w14:paraId="16A1E80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0D49D3"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6D5E43E" w14:textId="77777777" w:rsidR="00AA4AC8" w:rsidRDefault="0082369C">
            <w:pPr>
              <w:snapToGrid w:val="0"/>
              <w:rPr>
                <w:rFonts w:eastAsiaTheme="minorEastAsia"/>
              </w:rPr>
            </w:pPr>
            <w:r>
              <w:rPr>
                <w:rFonts w:eastAsiaTheme="minorEastAsia"/>
              </w:rPr>
              <w:t>Support the FL proposal.</w:t>
            </w:r>
          </w:p>
        </w:tc>
      </w:tr>
      <w:tr w:rsidR="00AA4AC8" w14:paraId="130A713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4F35A6"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65CA0ABA" w14:textId="77777777" w:rsidR="00AA4AC8" w:rsidRDefault="0082369C">
            <w:pPr>
              <w:snapToGrid w:val="0"/>
              <w:rPr>
                <w:rFonts w:eastAsiaTheme="minorEastAsia"/>
              </w:rPr>
            </w:pPr>
            <w:r>
              <w:rPr>
                <w:rFonts w:eastAsiaTheme="minorEastAsia"/>
              </w:rPr>
              <w:t>We are OK with either this proposal or Samsung’s suggestion.</w:t>
            </w:r>
          </w:p>
        </w:tc>
      </w:tr>
      <w:tr w:rsidR="00AA4AC8" w14:paraId="501537A8"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A61730" w14:textId="77777777" w:rsidR="00AA4AC8" w:rsidRDefault="0082369C">
            <w:pPr>
              <w:jc w:val="center"/>
              <w:rPr>
                <w:rFonts w:eastAsiaTheme="minorEastAsia" w:cs="Arial"/>
              </w:rPr>
            </w:pPr>
            <w:r>
              <w:rPr>
                <w:rFonts w:eastAsiaTheme="minorEastAsia" w:cs="Arial" w:hint="eastAsia"/>
              </w:rPr>
              <w:lastRenderedPageBreak/>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8D43580"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043EB273"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04FECC" w14:textId="77777777" w:rsidR="00AA4AC8" w:rsidRDefault="0082369C">
            <w:pPr>
              <w:jc w:val="center"/>
              <w:rPr>
                <w:rFonts w:eastAsiaTheme="minorEastAsia" w:cs="Arial"/>
              </w:rPr>
            </w:pPr>
            <w:r>
              <w:rPr>
                <w:rFonts w:eastAsia="Malgun Gothic" w:cs="Arial" w:hint="eastAsia"/>
                <w:lang w:eastAsia="ko-KR"/>
              </w:rPr>
              <w:t>LG Electronics</w:t>
            </w:r>
          </w:p>
        </w:tc>
        <w:tc>
          <w:tcPr>
            <w:tcW w:w="6840" w:type="dxa"/>
            <w:tcBorders>
              <w:top w:val="single" w:sz="4" w:space="0" w:color="auto"/>
              <w:left w:val="single" w:sz="4" w:space="0" w:color="auto"/>
              <w:bottom w:val="single" w:sz="4" w:space="0" w:color="auto"/>
              <w:right w:val="single" w:sz="4" w:space="0" w:color="auto"/>
            </w:tcBorders>
            <w:vAlign w:val="center"/>
          </w:tcPr>
          <w:p w14:paraId="2FAFBEFD" w14:textId="77777777" w:rsidR="00AA4AC8" w:rsidRDefault="0082369C">
            <w:pPr>
              <w:snapToGrid w:val="0"/>
              <w:rPr>
                <w:rFonts w:eastAsiaTheme="minorEastAsia"/>
              </w:rPr>
            </w:pPr>
            <w:r>
              <w:rPr>
                <w:rFonts w:eastAsia="Malgun Gothic"/>
                <w:lang w:eastAsia="ko-KR"/>
              </w:rPr>
              <w:t>We share the view with Nokia.</w:t>
            </w:r>
          </w:p>
        </w:tc>
      </w:tr>
      <w:tr w:rsidR="00AA4AC8" w14:paraId="408FBD71"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50A4A4" w14:textId="77777777" w:rsidR="00AA4AC8" w:rsidRDefault="0082369C">
            <w:pPr>
              <w:jc w:val="center"/>
              <w:rPr>
                <w:rFonts w:eastAsia="Malgun Gothic" w:cs="Arial"/>
                <w:lang w:eastAsia="ko-KR"/>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54C910A0" w14:textId="77777777" w:rsidR="00AA4AC8" w:rsidRDefault="0082369C">
            <w:pPr>
              <w:snapToGrid w:val="0"/>
              <w:rPr>
                <w:rFonts w:eastAsia="Malgun Gothic"/>
                <w:lang w:eastAsia="ko-KR"/>
              </w:rPr>
            </w:pPr>
            <w:r>
              <w:rPr>
                <w:rFonts w:eastAsiaTheme="minorEastAsia"/>
              </w:rPr>
              <w:t>The configuration of HARQ feedback as enabled or disabled should not impact the UE capability to buffer and combine HARQ retransmissions. If UE indicates support for 32 HARQ processes, it should be able to support 32 HARQ processes configured as feedback-</w:t>
            </w:r>
            <w:r>
              <w:rPr>
                <w:rFonts w:eastAsiaTheme="minorEastAsia"/>
                <w:u w:val="single"/>
              </w:rPr>
              <w:t>enabled</w:t>
            </w:r>
            <w:r>
              <w:rPr>
                <w:rFonts w:eastAsiaTheme="minorEastAsia"/>
              </w:rPr>
              <w:t xml:space="preserve"> by the network, and then there is no need to further increase the soft-buffer in UE’s implementation to support buffering/combination also if the HARQ processes are configured as feedback-</w:t>
            </w:r>
            <w:r>
              <w:rPr>
                <w:rFonts w:eastAsiaTheme="minorEastAsia"/>
                <w:u w:val="single"/>
              </w:rPr>
              <w:t>disabled</w:t>
            </w:r>
            <w:r>
              <w:rPr>
                <w:rFonts w:eastAsiaTheme="minorEastAsia"/>
              </w:rPr>
              <w:t xml:space="preserve"> by the network.</w:t>
            </w:r>
          </w:p>
        </w:tc>
      </w:tr>
      <w:tr w:rsidR="00AA4AC8" w14:paraId="6B03EC5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63606E" w14:textId="77777777" w:rsidR="00AA4AC8" w:rsidRDefault="0082369C">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07747A2" w14:textId="77777777" w:rsidR="00AA4AC8" w:rsidRDefault="0082369C">
            <w:pPr>
              <w:snapToGrid w:val="0"/>
              <w:rPr>
                <w:rFonts w:eastAsiaTheme="minorEastAsia"/>
              </w:rPr>
            </w:pPr>
            <w:r>
              <w:rPr>
                <w:rFonts w:eastAsiaTheme="minorEastAsia"/>
              </w:rPr>
              <w:t>Support</w:t>
            </w:r>
          </w:p>
        </w:tc>
      </w:tr>
    </w:tbl>
    <w:p w14:paraId="108F95D0" w14:textId="77777777" w:rsidR="00AA4AC8" w:rsidRDefault="0082369C">
      <w:pPr>
        <w:pStyle w:val="3"/>
        <w:numPr>
          <w:ilvl w:val="2"/>
          <w:numId w:val="10"/>
        </w:numPr>
        <w:rPr>
          <w:rFonts w:ascii="Times New Roman" w:eastAsiaTheme="minorEastAsia" w:hAnsi="Times New Roman"/>
          <w:b/>
          <w:sz w:val="22"/>
        </w:rPr>
      </w:pPr>
      <w:r>
        <w:rPr>
          <w:rFonts w:ascii="Times New Roman" w:eastAsiaTheme="minorEastAsia" w:hAnsi="Times New Roman"/>
          <w:b/>
          <w:sz w:val="22"/>
        </w:rPr>
        <w:t>Updated based on the email discussion (Round-2)</w:t>
      </w:r>
    </w:p>
    <w:p w14:paraId="6F7300EF" w14:textId="77777777" w:rsidR="00AA4AC8" w:rsidRDefault="0082369C">
      <w:pPr>
        <w:snapToGrid w:val="0"/>
        <w:spacing w:beforeLines="50" w:before="120" w:afterLines="50" w:after="120"/>
        <w:ind w:leftChars="100" w:left="200"/>
        <w:rPr>
          <w:rFonts w:eastAsiaTheme="minorEastAsia"/>
        </w:rPr>
      </w:pPr>
      <w:r>
        <w:rPr>
          <w:rFonts w:eastAsiaTheme="minorEastAsia"/>
        </w:rPr>
        <w:t xml:space="preserve">For this topic, it seems that there is clear majority’s support on the </w:t>
      </w:r>
      <w:r>
        <w:rPr>
          <w:rFonts w:eastAsiaTheme="minorEastAsia"/>
          <w:highlight w:val="yellow"/>
        </w:rPr>
        <w:t>[Initial Proposal 5.2.1]</w:t>
      </w:r>
      <w:r>
        <w:rPr>
          <w:rFonts w:eastAsiaTheme="minorEastAsia"/>
        </w:rPr>
        <w:t xml:space="preserve">. Regarding the comments below, </w:t>
      </w:r>
    </w:p>
    <w:p w14:paraId="29F7CFC1" w14:textId="77777777" w:rsidR="00AA4AC8" w:rsidRDefault="0082369C">
      <w:pPr>
        <w:snapToGrid w:val="0"/>
        <w:spacing w:beforeLines="50" w:before="120" w:afterLines="50" w:after="120"/>
        <w:ind w:leftChars="100" w:left="200"/>
        <w:rPr>
          <w:rFonts w:eastAsiaTheme="minorEastAsia"/>
        </w:rPr>
      </w:pPr>
      <w:r>
        <w:rPr>
          <w:rFonts w:eastAsiaTheme="minorEastAsia"/>
        </w:rPr>
        <w:t>@[Samsung]: From moderator’s perspective, there is no need to introduce the additional indication to gNB, and proper assumption should be made by gNB for scheduling once the disabled HARQ process will be used. With such indication, additional impacts on “</w:t>
      </w:r>
      <w:r>
        <w:t>any demodulation requirements</w:t>
      </w:r>
      <w:r>
        <w:rPr>
          <w:rFonts w:eastAsiaTheme="minorEastAsia"/>
        </w:rPr>
        <w:t>” should be considered for case with/without support such behavior, and it may not be preferred by others.</w:t>
      </w:r>
    </w:p>
    <w:p w14:paraId="22E9ED91" w14:textId="77777777" w:rsidR="00AA4AC8" w:rsidRDefault="0082369C">
      <w:pPr>
        <w:snapToGrid w:val="0"/>
        <w:spacing w:beforeLines="50" w:before="120" w:afterLines="50" w:after="120"/>
        <w:ind w:leftChars="100" w:left="200"/>
        <w:rPr>
          <w:rFonts w:eastAsiaTheme="minorEastAsia"/>
        </w:rPr>
      </w:pPr>
      <w:r>
        <w:rPr>
          <w:rFonts w:eastAsiaTheme="minorEastAsia"/>
        </w:rPr>
        <w:t>@[Ericsson]: From moderator’s perspective, it’s not proper to couple the different UE capability together and the UE’s implementation on buffer management may be different.</w:t>
      </w:r>
    </w:p>
    <w:p w14:paraId="034B8DF9" w14:textId="77777777" w:rsidR="00AA4AC8" w:rsidRDefault="0082369C">
      <w:pPr>
        <w:snapToGrid w:val="0"/>
        <w:spacing w:beforeLines="50" w:before="120" w:afterLines="50" w:after="120"/>
        <w:ind w:leftChars="100" w:left="200"/>
        <w:rPr>
          <w:rFonts w:eastAsiaTheme="minorEastAsia"/>
        </w:rPr>
      </w:pPr>
      <w:r>
        <w:rPr>
          <w:rFonts w:eastAsiaTheme="minorEastAsia"/>
        </w:rPr>
        <w:t>In order to further check this issue, which may be essential for UE’s implementation, companies are encouraged to further share the views on following options in the 2</w:t>
      </w:r>
      <w:r>
        <w:rPr>
          <w:rFonts w:eastAsiaTheme="minorEastAsia"/>
          <w:vertAlign w:val="superscript"/>
        </w:rPr>
        <w:t>nd</w:t>
      </w:r>
      <w:r>
        <w:rPr>
          <w:rFonts w:eastAsiaTheme="minorEastAsia"/>
        </w:rPr>
        <w:t xml:space="preserve"> round with proposal as listed below:</w:t>
      </w:r>
    </w:p>
    <w:p w14:paraId="04924913" w14:textId="77777777" w:rsidR="00AA4AC8" w:rsidRDefault="0082369C">
      <w:pPr>
        <w:snapToGrid w:val="0"/>
        <w:spacing w:beforeLines="50" w:before="120" w:afterLines="50" w:after="120"/>
        <w:ind w:firstLine="200"/>
        <w:rPr>
          <w:rFonts w:eastAsiaTheme="minorEastAsia"/>
          <w:iCs/>
          <w:sz w:val="22"/>
          <w:highlight w:val="yellow"/>
        </w:rPr>
      </w:pPr>
      <w:r>
        <w:rPr>
          <w:b/>
          <w:color w:val="000000" w:themeColor="text1"/>
          <w:sz w:val="22"/>
          <w:highlight w:val="yellow"/>
        </w:rPr>
        <w:t xml:space="preserve">[Proposal 5.2.2 </w:t>
      </w:r>
      <w:r>
        <w:rPr>
          <w:iCs/>
          <w:sz w:val="22"/>
          <w:highlight w:val="yellow"/>
        </w:rPr>
        <w:t>(As conclusion)</w:t>
      </w:r>
      <w:r>
        <w:rPr>
          <w:rFonts w:hint="eastAsia"/>
          <w:iCs/>
          <w:sz w:val="22"/>
          <w:highlight w:val="yellow"/>
        </w:rPr>
        <w:t>]</w:t>
      </w:r>
      <w:r>
        <w:rPr>
          <w:iCs/>
          <w:sz w:val="22"/>
          <w:highlight w:val="yellow"/>
        </w:rPr>
        <w:t>:</w:t>
      </w:r>
    </w:p>
    <w:p w14:paraId="7B0A198B" w14:textId="77777777" w:rsidR="00AA4AC8" w:rsidRDefault="0082369C">
      <w:pPr>
        <w:snapToGrid w:val="0"/>
        <w:spacing w:after="0"/>
        <w:ind w:left="200"/>
        <w:rPr>
          <w:iCs/>
          <w:sz w:val="22"/>
          <w:highlight w:val="yellow"/>
        </w:rPr>
      </w:pPr>
      <w:r>
        <w:rPr>
          <w:iCs/>
          <w:sz w:val="22"/>
          <w:highlight w:val="yellow"/>
        </w:rPr>
        <w:t xml:space="preserve">Regarding the retransmissions for TBs with disabled HARQ feedback, only one of following options is supported: </w:t>
      </w:r>
    </w:p>
    <w:p w14:paraId="4D82F0CF" w14:textId="77777777" w:rsidR="00AA4AC8" w:rsidRDefault="0082369C">
      <w:pPr>
        <w:pStyle w:val="afc"/>
        <w:numPr>
          <w:ilvl w:val="0"/>
          <w:numId w:val="25"/>
        </w:numPr>
        <w:snapToGrid w:val="0"/>
        <w:rPr>
          <w:rFonts w:ascii="Times New Roman" w:hAnsi="Times New Roman"/>
          <w:iCs/>
          <w:szCs w:val="20"/>
          <w:highlight w:val="yellow"/>
        </w:rPr>
      </w:pPr>
      <w:r>
        <w:rPr>
          <w:rFonts w:ascii="Times New Roman" w:hAnsi="Times New Roman"/>
          <w:iCs/>
          <w:szCs w:val="20"/>
          <w:highlight w:val="yellow"/>
        </w:rPr>
        <w:t>Option-1:  The LLR combination is up to the UE’s implementation (majority in the 1st round)</w:t>
      </w:r>
    </w:p>
    <w:p w14:paraId="335D018D" w14:textId="77777777" w:rsidR="00AA4AC8" w:rsidRDefault="0082369C">
      <w:pPr>
        <w:pStyle w:val="afc"/>
        <w:numPr>
          <w:ilvl w:val="0"/>
          <w:numId w:val="25"/>
        </w:numPr>
        <w:snapToGrid w:val="0"/>
        <w:rPr>
          <w:rFonts w:ascii="Times New Roman" w:hAnsi="Times New Roman"/>
          <w:iCs/>
          <w:szCs w:val="20"/>
          <w:highlight w:val="yellow"/>
        </w:rPr>
      </w:pPr>
      <w:r>
        <w:rPr>
          <w:rFonts w:ascii="Times New Roman" w:hAnsi="Times New Roman"/>
          <w:iCs/>
          <w:szCs w:val="20"/>
          <w:highlight w:val="yellow"/>
        </w:rPr>
        <w:t>Option-2: As the UE capability, the UE will inform the gNB whether or not the UE keeps LLRs for HARQ processes with disabled HARQ-ACK (proposed by Samsung)</w:t>
      </w:r>
    </w:p>
    <w:p w14:paraId="12115B96" w14:textId="77777777" w:rsidR="00AA4AC8" w:rsidRDefault="0082369C">
      <w:pPr>
        <w:pStyle w:val="afc"/>
        <w:numPr>
          <w:ilvl w:val="0"/>
          <w:numId w:val="25"/>
        </w:numPr>
        <w:snapToGrid w:val="0"/>
        <w:rPr>
          <w:rFonts w:ascii="Times New Roman" w:hAnsi="Times New Roman"/>
          <w:iCs/>
          <w:szCs w:val="20"/>
          <w:highlight w:val="yellow"/>
        </w:rPr>
      </w:pPr>
      <w:r>
        <w:rPr>
          <w:rFonts w:ascii="Times New Roman" w:hAnsi="Times New Roman" w:hint="eastAsia"/>
          <w:iCs/>
          <w:szCs w:val="20"/>
          <w:highlight w:val="yellow"/>
        </w:rPr>
        <w:t>O</w:t>
      </w:r>
      <w:r>
        <w:rPr>
          <w:rFonts w:ascii="Times New Roman" w:hAnsi="Times New Roman"/>
          <w:iCs/>
          <w:szCs w:val="20"/>
          <w:highlight w:val="yellow"/>
        </w:rPr>
        <w:t>ption-3</w:t>
      </w:r>
      <w:r>
        <w:rPr>
          <w:rFonts w:ascii="Times New Roman" w:hAnsi="Times New Roman" w:hint="eastAsia"/>
          <w:iCs/>
          <w:szCs w:val="20"/>
          <w:highlight w:val="yellow"/>
        </w:rPr>
        <w:t>:</w:t>
      </w:r>
      <w:r>
        <w:rPr>
          <w:rFonts w:ascii="Times New Roman" w:hAnsi="Times New Roman"/>
          <w:iCs/>
          <w:szCs w:val="20"/>
          <w:highlight w:val="yellow"/>
        </w:rPr>
        <w:t xml:space="preserve"> The UE should be capable to keep LLR for HARQ processes with disabled HARQ-ACK with same buffer regardless of the configuration enabled and disabled-HARQ process (proposed by Ericsson)</w:t>
      </w:r>
    </w:p>
    <w:p w14:paraId="3EF34968" w14:textId="77777777" w:rsidR="00AA4AC8" w:rsidRDefault="0082369C">
      <w:pPr>
        <w:snapToGrid w:val="0"/>
        <w:spacing w:beforeLines="50" w:before="120" w:afterLines="50" w:after="120"/>
        <w:ind w:left="400"/>
        <w:rPr>
          <w:iCs/>
        </w:rPr>
      </w:pPr>
      <w:r>
        <w:rPr>
          <w:iCs/>
        </w:rPr>
        <w:t>Please share your views on this proposal and potential way forward if there is concern.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020"/>
      </w:tblGrid>
      <w:tr w:rsidR="00AA4AC8" w14:paraId="1C732E1B"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653F24D" w14:textId="77777777" w:rsidR="00AA4AC8" w:rsidRDefault="0082369C">
            <w:pPr>
              <w:jc w:val="center"/>
              <w:rPr>
                <w:b/>
                <w:sz w:val="28"/>
              </w:rPr>
            </w:pPr>
            <w:r>
              <w:rPr>
                <w:b/>
                <w:sz w:val="22"/>
              </w:rPr>
              <w:t>Company</w:t>
            </w:r>
          </w:p>
        </w:tc>
        <w:tc>
          <w:tcPr>
            <w:tcW w:w="7020" w:type="dxa"/>
            <w:tcBorders>
              <w:top w:val="single" w:sz="4" w:space="0" w:color="auto"/>
              <w:left w:val="single" w:sz="4" w:space="0" w:color="auto"/>
              <w:bottom w:val="single" w:sz="4" w:space="0" w:color="auto"/>
              <w:right w:val="single" w:sz="4" w:space="0" w:color="auto"/>
            </w:tcBorders>
            <w:vAlign w:val="center"/>
          </w:tcPr>
          <w:p w14:paraId="2D832D72" w14:textId="77777777" w:rsidR="00AA4AC8" w:rsidRDefault="0082369C">
            <w:pPr>
              <w:jc w:val="center"/>
              <w:rPr>
                <w:b/>
                <w:sz w:val="28"/>
              </w:rPr>
            </w:pPr>
            <w:r>
              <w:rPr>
                <w:b/>
                <w:sz w:val="22"/>
              </w:rPr>
              <w:t>Comments and Views</w:t>
            </w:r>
          </w:p>
        </w:tc>
      </w:tr>
      <w:tr w:rsidR="00AA4AC8" w14:paraId="46EA5ED5"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9BC846C" w14:textId="77777777" w:rsidR="00AA4AC8" w:rsidRDefault="0082369C">
            <w:pPr>
              <w:jc w:val="center"/>
              <w:rPr>
                <w:rFonts w:cs="Arial"/>
              </w:rPr>
            </w:pPr>
            <w:r>
              <w:rPr>
                <w:rFonts w:cs="Arial"/>
              </w:rPr>
              <w:t>Apple</w:t>
            </w:r>
          </w:p>
        </w:tc>
        <w:tc>
          <w:tcPr>
            <w:tcW w:w="7020" w:type="dxa"/>
            <w:tcBorders>
              <w:top w:val="single" w:sz="4" w:space="0" w:color="auto"/>
              <w:left w:val="single" w:sz="4" w:space="0" w:color="auto"/>
              <w:bottom w:val="single" w:sz="4" w:space="0" w:color="auto"/>
              <w:right w:val="single" w:sz="4" w:space="0" w:color="auto"/>
            </w:tcBorders>
            <w:vAlign w:val="center"/>
          </w:tcPr>
          <w:p w14:paraId="2030E912" w14:textId="77777777" w:rsidR="00AA4AC8" w:rsidRDefault="0082369C">
            <w:pPr>
              <w:snapToGrid w:val="0"/>
            </w:pPr>
            <w:r>
              <w:t xml:space="preserve">We are fine with either Option 1 or Option 2. </w:t>
            </w:r>
          </w:p>
          <w:p w14:paraId="0F6A161C" w14:textId="77777777" w:rsidR="00AA4AC8" w:rsidRDefault="0082369C">
            <w:pPr>
              <w:snapToGrid w:val="0"/>
            </w:pPr>
            <w:r>
              <w:t xml:space="preserve">In Option 1, UE has the flexibility in buffer management by either keeping or discarding LLR for feedback-disabled HARQ processes. </w:t>
            </w:r>
          </w:p>
          <w:p w14:paraId="73DED6FB" w14:textId="77777777" w:rsidR="00AA4AC8" w:rsidRDefault="0082369C">
            <w:pPr>
              <w:snapToGrid w:val="0"/>
            </w:pPr>
            <w:r>
              <w:t xml:space="preserve">In Option 2, a better scheduling and performance can be achieved when gNB knows whether UE has the capability of keeping LLRs for feedback-disabled HARQ processes. Here, UE needs to report additional capability information (related to its buffer size) to gNB. Depending on UE’s capability, gNB could determine whether or not scheduling the retransmission of the TB with feedback-disabled HARQ processes.   </w:t>
            </w:r>
          </w:p>
        </w:tc>
      </w:tr>
      <w:tr w:rsidR="00AA4AC8" w14:paraId="4CBC2FC0"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2844F0C4" w14:textId="77777777" w:rsidR="00AA4AC8" w:rsidRDefault="0082369C">
            <w:pPr>
              <w:jc w:val="center"/>
              <w:rPr>
                <w:rFonts w:cs="Arial"/>
              </w:rPr>
            </w:pPr>
            <w:r>
              <w:rPr>
                <w:rFonts w:cs="Arial"/>
              </w:rPr>
              <w:t>NTT DOCOMO</w:t>
            </w:r>
          </w:p>
        </w:tc>
        <w:tc>
          <w:tcPr>
            <w:tcW w:w="7020" w:type="dxa"/>
            <w:tcBorders>
              <w:top w:val="single" w:sz="4" w:space="0" w:color="auto"/>
              <w:left w:val="single" w:sz="4" w:space="0" w:color="auto"/>
              <w:bottom w:val="single" w:sz="4" w:space="0" w:color="auto"/>
              <w:right w:val="single" w:sz="4" w:space="0" w:color="auto"/>
            </w:tcBorders>
            <w:vAlign w:val="center"/>
          </w:tcPr>
          <w:p w14:paraId="77D54B71" w14:textId="77777777" w:rsidR="00AA4AC8" w:rsidRDefault="0082369C">
            <w:pPr>
              <w:snapToGrid w:val="0"/>
            </w:pPr>
            <w:r>
              <w:t>We are fine with either Option 1 or Option 2.</w:t>
            </w:r>
          </w:p>
        </w:tc>
      </w:tr>
      <w:tr w:rsidR="00AA4AC8" w14:paraId="35CC98D1"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6A80C2C5" w14:textId="77777777" w:rsidR="00AA4AC8" w:rsidRDefault="0082369C">
            <w:pPr>
              <w:jc w:val="center"/>
              <w:rPr>
                <w:rFonts w:cs="Arial"/>
              </w:rPr>
            </w:pPr>
            <w:r>
              <w:rPr>
                <w:rFonts w:eastAsiaTheme="minorEastAsia" w:cs="Arial" w:hint="eastAsia"/>
              </w:rPr>
              <w:t>v</w:t>
            </w:r>
            <w:r>
              <w:rPr>
                <w:rFonts w:eastAsiaTheme="minorEastAsia" w:cs="Arial"/>
              </w:rPr>
              <w:t>ivo</w:t>
            </w:r>
          </w:p>
        </w:tc>
        <w:tc>
          <w:tcPr>
            <w:tcW w:w="7020" w:type="dxa"/>
            <w:tcBorders>
              <w:top w:val="single" w:sz="4" w:space="0" w:color="auto"/>
              <w:left w:val="single" w:sz="4" w:space="0" w:color="auto"/>
              <w:bottom w:val="single" w:sz="4" w:space="0" w:color="auto"/>
              <w:right w:val="single" w:sz="4" w:space="0" w:color="auto"/>
            </w:tcBorders>
            <w:vAlign w:val="center"/>
          </w:tcPr>
          <w:p w14:paraId="68BD0097" w14:textId="77777777" w:rsidR="00AA4AC8" w:rsidRDefault="0082369C">
            <w:pPr>
              <w:snapToGrid w:val="0"/>
            </w:pPr>
            <w:r>
              <w:rPr>
                <w:rFonts w:eastAsiaTheme="minorEastAsia"/>
              </w:rPr>
              <w:t xml:space="preserve">We prefer Option-1 as the current legacy behavior. </w:t>
            </w:r>
          </w:p>
        </w:tc>
      </w:tr>
      <w:tr w:rsidR="00AA4AC8" w14:paraId="4992A297"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50F5C5A"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7020" w:type="dxa"/>
            <w:tcBorders>
              <w:top w:val="single" w:sz="4" w:space="0" w:color="auto"/>
              <w:left w:val="single" w:sz="4" w:space="0" w:color="auto"/>
              <w:bottom w:val="single" w:sz="4" w:space="0" w:color="auto"/>
              <w:right w:val="single" w:sz="4" w:space="0" w:color="auto"/>
            </w:tcBorders>
            <w:vAlign w:val="center"/>
          </w:tcPr>
          <w:p w14:paraId="395694AE" w14:textId="77777777" w:rsidR="00AA4AC8" w:rsidRDefault="0082369C">
            <w:pPr>
              <w:snapToGrid w:val="0"/>
              <w:rPr>
                <w:rFonts w:eastAsiaTheme="minorEastAsia"/>
              </w:rPr>
            </w:pPr>
            <w:r>
              <w:rPr>
                <w:rFonts w:eastAsiaTheme="minorEastAsia"/>
              </w:rPr>
              <w:t>Option-1.</w:t>
            </w:r>
          </w:p>
        </w:tc>
      </w:tr>
      <w:tr w:rsidR="00AA4AC8" w14:paraId="6D8B61B8"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9744A5B" w14:textId="77777777" w:rsidR="00AA4AC8" w:rsidRDefault="0082369C">
            <w:pPr>
              <w:jc w:val="center"/>
              <w:rPr>
                <w:rFonts w:eastAsiaTheme="minorEastAsia" w:cs="Arial"/>
              </w:rPr>
            </w:pPr>
            <w:r>
              <w:rPr>
                <w:rFonts w:eastAsia="MS Mincho" w:cs="Arial"/>
              </w:rPr>
              <w:lastRenderedPageBreak/>
              <w:t>Panasonic</w:t>
            </w:r>
          </w:p>
        </w:tc>
        <w:tc>
          <w:tcPr>
            <w:tcW w:w="7020" w:type="dxa"/>
            <w:tcBorders>
              <w:top w:val="single" w:sz="4" w:space="0" w:color="auto"/>
              <w:left w:val="single" w:sz="4" w:space="0" w:color="auto"/>
              <w:bottom w:val="single" w:sz="4" w:space="0" w:color="auto"/>
              <w:right w:val="single" w:sz="4" w:space="0" w:color="auto"/>
            </w:tcBorders>
            <w:vAlign w:val="center"/>
          </w:tcPr>
          <w:p w14:paraId="1D55542F" w14:textId="77777777" w:rsidR="00AA4AC8" w:rsidRDefault="0082369C">
            <w:pPr>
              <w:snapToGrid w:val="0"/>
              <w:rPr>
                <w:rFonts w:eastAsiaTheme="minorEastAsia"/>
              </w:rPr>
            </w:pPr>
            <w:r>
              <w:rPr>
                <w:rFonts w:eastAsia="MS Mincho"/>
              </w:rPr>
              <w:t xml:space="preserve">OK with either Option 1 or Option 2 with slight preference of Option 2. Agree with Apple’s observation. </w:t>
            </w:r>
          </w:p>
        </w:tc>
      </w:tr>
      <w:tr w:rsidR="00AA4AC8" w14:paraId="1822C473"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730B719" w14:textId="77777777" w:rsidR="00AA4AC8" w:rsidRDefault="0082369C">
            <w:pPr>
              <w:jc w:val="center"/>
              <w:rPr>
                <w:rFonts w:eastAsia="MS Mincho" w:cs="Arial"/>
              </w:rPr>
            </w:pPr>
            <w:r>
              <w:rPr>
                <w:rFonts w:eastAsiaTheme="minorEastAsia" w:cs="Arial" w:hint="eastAsia"/>
              </w:rPr>
              <w:t>C</w:t>
            </w:r>
            <w:r>
              <w:rPr>
                <w:rFonts w:eastAsiaTheme="minorEastAsia" w:cs="Arial"/>
              </w:rPr>
              <w:t>MCC</w:t>
            </w:r>
          </w:p>
        </w:tc>
        <w:tc>
          <w:tcPr>
            <w:tcW w:w="7020" w:type="dxa"/>
            <w:tcBorders>
              <w:top w:val="single" w:sz="4" w:space="0" w:color="auto"/>
              <w:left w:val="single" w:sz="4" w:space="0" w:color="auto"/>
              <w:bottom w:val="single" w:sz="4" w:space="0" w:color="auto"/>
              <w:right w:val="single" w:sz="4" w:space="0" w:color="auto"/>
            </w:tcBorders>
            <w:vAlign w:val="center"/>
          </w:tcPr>
          <w:p w14:paraId="42ECF93F" w14:textId="77777777" w:rsidR="00AA4AC8" w:rsidRDefault="0082369C">
            <w:pPr>
              <w:snapToGrid w:val="0"/>
              <w:rPr>
                <w:rFonts w:eastAsia="MS Mincho"/>
              </w:rPr>
            </w:pPr>
            <w:r>
              <w:rPr>
                <w:rFonts w:eastAsiaTheme="minorEastAsia" w:hint="eastAsia"/>
              </w:rPr>
              <w:t>W</w:t>
            </w:r>
            <w:r>
              <w:rPr>
                <w:rFonts w:eastAsiaTheme="minorEastAsia"/>
              </w:rPr>
              <w:t>e prefer Option 1.</w:t>
            </w:r>
          </w:p>
        </w:tc>
      </w:tr>
      <w:tr w:rsidR="00AA4AC8" w14:paraId="15EA8350"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8D72C19" w14:textId="77777777" w:rsidR="00AA4AC8" w:rsidRDefault="0082369C">
            <w:pPr>
              <w:jc w:val="center"/>
              <w:rPr>
                <w:rFonts w:eastAsiaTheme="minorEastAsia" w:cs="Arial"/>
              </w:rPr>
            </w:pPr>
            <w:r>
              <w:rPr>
                <w:rFonts w:eastAsiaTheme="minorEastAsia" w:cs="Arial"/>
              </w:rPr>
              <w:t>Samsung</w:t>
            </w:r>
          </w:p>
        </w:tc>
        <w:tc>
          <w:tcPr>
            <w:tcW w:w="7020" w:type="dxa"/>
            <w:tcBorders>
              <w:top w:val="single" w:sz="4" w:space="0" w:color="auto"/>
              <w:left w:val="single" w:sz="4" w:space="0" w:color="auto"/>
              <w:bottom w:val="single" w:sz="4" w:space="0" w:color="auto"/>
              <w:right w:val="single" w:sz="4" w:space="0" w:color="auto"/>
            </w:tcBorders>
            <w:vAlign w:val="center"/>
          </w:tcPr>
          <w:p w14:paraId="41C37706" w14:textId="77777777" w:rsidR="00AA4AC8" w:rsidRDefault="0082369C">
            <w:pPr>
              <w:snapToGrid w:val="0"/>
              <w:rPr>
                <w:rFonts w:eastAsiaTheme="minorEastAsia"/>
              </w:rPr>
            </w:pPr>
            <w:r>
              <w:rPr>
                <w:rFonts w:eastAsiaTheme="minorEastAsia"/>
              </w:rPr>
              <w:t>We prefer option 2 because it is beneficial to UE buffer management (a main reason for introducing HARQ disabling) and provides information that the gNB can use in scheduling the UE.</w:t>
            </w:r>
          </w:p>
          <w:p w14:paraId="02BA0703" w14:textId="77777777" w:rsidR="00AA4AC8" w:rsidRDefault="0082369C">
            <w:pPr>
              <w:snapToGrid w:val="0"/>
              <w:rPr>
                <w:rFonts w:eastAsiaTheme="minorEastAsia"/>
              </w:rPr>
            </w:pPr>
            <w:r>
              <w:rPr>
                <w:rFonts w:eastAsiaTheme="minorEastAsia"/>
              </w:rPr>
              <w:t xml:space="preserve">Option 1 is acceptable from the UE perspective but the gNB will not know the UE capability for buffer management and that can lead to throughput loss. For option 1, it should be clarified that LLR combining is for TBs with disabled HARQ processes. </w:t>
            </w:r>
          </w:p>
          <w:p w14:paraId="35ABABCC" w14:textId="77777777" w:rsidR="00AA4AC8" w:rsidRDefault="0082369C">
            <w:pPr>
              <w:snapToGrid w:val="0"/>
              <w:rPr>
                <w:rFonts w:eastAsiaTheme="minorEastAsia"/>
              </w:rPr>
            </w:pPr>
            <w:r>
              <w:rPr>
                <w:rFonts w:eastAsiaTheme="minorEastAsia"/>
              </w:rPr>
              <w:t>Option 3 is not acceptable because, if a UE that indicates support for 32 HARQs must have buffer for 32 HARQs, that would require new UE implementations for NTN that will be more expensive (won’t happen) and basically removes any reason to have disabled HARQ as there would be no impact on UE buffer management.</w:t>
            </w:r>
          </w:p>
        </w:tc>
      </w:tr>
      <w:tr w:rsidR="00AA4AC8" w14:paraId="58A1D219"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60BC4224"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7020" w:type="dxa"/>
            <w:tcBorders>
              <w:top w:val="single" w:sz="4" w:space="0" w:color="auto"/>
              <w:left w:val="single" w:sz="4" w:space="0" w:color="auto"/>
              <w:bottom w:val="single" w:sz="4" w:space="0" w:color="auto"/>
              <w:right w:val="single" w:sz="4" w:space="0" w:color="auto"/>
            </w:tcBorders>
            <w:vAlign w:val="center"/>
          </w:tcPr>
          <w:p w14:paraId="3142541E" w14:textId="77777777" w:rsidR="00AA4AC8" w:rsidRDefault="0082369C">
            <w:pPr>
              <w:snapToGrid w:val="0"/>
              <w:rPr>
                <w:rFonts w:eastAsiaTheme="minorEastAsia"/>
              </w:rPr>
            </w:pPr>
            <w:r>
              <w:t xml:space="preserve">We are fine with either Option 1 or Option 2. </w:t>
            </w:r>
          </w:p>
        </w:tc>
      </w:tr>
      <w:tr w:rsidR="00AA4AC8" w14:paraId="7D3CB67F"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5305E2B2" w14:textId="77777777" w:rsidR="00AA4AC8" w:rsidRDefault="0082369C">
            <w:pPr>
              <w:jc w:val="center"/>
              <w:rPr>
                <w:rFonts w:eastAsiaTheme="minorEastAsia" w:cs="Arial"/>
              </w:rPr>
            </w:pPr>
            <w:r>
              <w:rPr>
                <w:rFonts w:eastAsiaTheme="minorEastAsia" w:cs="Arial"/>
              </w:rPr>
              <w:t>LG Electronics</w:t>
            </w:r>
          </w:p>
        </w:tc>
        <w:tc>
          <w:tcPr>
            <w:tcW w:w="7020" w:type="dxa"/>
            <w:tcBorders>
              <w:top w:val="single" w:sz="4" w:space="0" w:color="auto"/>
              <w:left w:val="single" w:sz="4" w:space="0" w:color="auto"/>
              <w:bottom w:val="single" w:sz="4" w:space="0" w:color="auto"/>
              <w:right w:val="single" w:sz="4" w:space="0" w:color="auto"/>
            </w:tcBorders>
            <w:vAlign w:val="center"/>
          </w:tcPr>
          <w:p w14:paraId="23D6A9CC" w14:textId="77777777" w:rsidR="00AA4AC8" w:rsidRDefault="0082369C">
            <w:pPr>
              <w:snapToGrid w:val="0"/>
            </w:pPr>
            <w:r>
              <w:rPr>
                <w:rFonts w:eastAsiaTheme="minorEastAsia"/>
              </w:rPr>
              <w:t>Support Option 1.</w:t>
            </w:r>
          </w:p>
        </w:tc>
      </w:tr>
      <w:tr w:rsidR="00AA4AC8" w14:paraId="5BAC70A4"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D32199B" w14:textId="77777777" w:rsidR="00AA4AC8" w:rsidRDefault="0082369C">
            <w:pPr>
              <w:jc w:val="center"/>
              <w:rPr>
                <w:rFonts w:eastAsiaTheme="minorEastAsia" w:cs="Arial"/>
              </w:rPr>
            </w:pPr>
            <w:r>
              <w:rPr>
                <w:rFonts w:eastAsiaTheme="minorEastAsia" w:cs="Arial"/>
              </w:rPr>
              <w:t>Huawei, HiSilicon</w:t>
            </w:r>
          </w:p>
        </w:tc>
        <w:tc>
          <w:tcPr>
            <w:tcW w:w="7020" w:type="dxa"/>
            <w:tcBorders>
              <w:top w:val="single" w:sz="4" w:space="0" w:color="auto"/>
              <w:left w:val="single" w:sz="4" w:space="0" w:color="auto"/>
              <w:bottom w:val="single" w:sz="4" w:space="0" w:color="auto"/>
              <w:right w:val="single" w:sz="4" w:space="0" w:color="auto"/>
            </w:tcBorders>
            <w:vAlign w:val="center"/>
          </w:tcPr>
          <w:p w14:paraId="260CFF57" w14:textId="77777777" w:rsidR="00AA4AC8" w:rsidRDefault="0082369C">
            <w:pPr>
              <w:snapToGrid w:val="0"/>
              <w:rPr>
                <w:rFonts w:eastAsiaTheme="minorEastAsia"/>
              </w:rPr>
            </w:pPr>
            <w:r>
              <w:rPr>
                <w:rFonts w:eastAsiaTheme="minorEastAsia"/>
              </w:rPr>
              <w:t>We prefer Option 1.</w:t>
            </w:r>
          </w:p>
        </w:tc>
      </w:tr>
      <w:tr w:rsidR="00AA4AC8" w14:paraId="51CBC0D2"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016A1AB9" w14:textId="77777777" w:rsidR="00AA4AC8" w:rsidRDefault="0082369C">
            <w:pPr>
              <w:jc w:val="center"/>
              <w:rPr>
                <w:rFonts w:eastAsiaTheme="minorEastAsia" w:cs="Arial"/>
              </w:rPr>
            </w:pPr>
            <w:r>
              <w:rPr>
                <w:rFonts w:eastAsiaTheme="minorEastAsia" w:cs="Arial" w:hint="eastAsia"/>
                <w:lang w:val="en-US"/>
              </w:rPr>
              <w:t>Baicells</w:t>
            </w:r>
          </w:p>
        </w:tc>
        <w:tc>
          <w:tcPr>
            <w:tcW w:w="7020" w:type="dxa"/>
            <w:tcBorders>
              <w:top w:val="single" w:sz="4" w:space="0" w:color="auto"/>
              <w:left w:val="single" w:sz="4" w:space="0" w:color="auto"/>
              <w:bottom w:val="single" w:sz="4" w:space="0" w:color="auto"/>
              <w:right w:val="single" w:sz="4" w:space="0" w:color="auto"/>
            </w:tcBorders>
            <w:vAlign w:val="center"/>
          </w:tcPr>
          <w:p w14:paraId="5E8FE832" w14:textId="77777777" w:rsidR="00AA4AC8" w:rsidRDefault="0082369C">
            <w:pPr>
              <w:snapToGrid w:val="0"/>
              <w:rPr>
                <w:rFonts w:eastAsiaTheme="minorEastAsia"/>
              </w:rPr>
            </w:pPr>
            <w:r>
              <w:rPr>
                <w:rFonts w:eastAsia="宋体" w:hint="eastAsia"/>
                <w:lang w:val="en-US"/>
              </w:rPr>
              <w:t>Support Option-1 only for simplicity in R-17.</w:t>
            </w:r>
          </w:p>
        </w:tc>
      </w:tr>
      <w:tr w:rsidR="00124F72" w14:paraId="7B1CA2BD"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1CFF0806" w14:textId="67897504" w:rsidR="00124F72" w:rsidRDefault="00124F72" w:rsidP="00124F72">
            <w:pPr>
              <w:jc w:val="center"/>
              <w:rPr>
                <w:rFonts w:eastAsiaTheme="minorEastAsia" w:cs="Arial"/>
                <w:lang w:val="en-US"/>
              </w:rPr>
            </w:pPr>
            <w:r>
              <w:rPr>
                <w:rFonts w:eastAsia="MS Mincho" w:cs="Arial" w:hint="eastAsia"/>
                <w:lang w:eastAsia="ja-JP"/>
              </w:rPr>
              <w:t>S</w:t>
            </w:r>
            <w:r>
              <w:rPr>
                <w:rFonts w:eastAsia="MS Mincho" w:cs="Arial"/>
                <w:lang w:eastAsia="ja-JP"/>
              </w:rPr>
              <w:t>ony</w:t>
            </w:r>
          </w:p>
        </w:tc>
        <w:tc>
          <w:tcPr>
            <w:tcW w:w="7020" w:type="dxa"/>
            <w:tcBorders>
              <w:top w:val="single" w:sz="4" w:space="0" w:color="auto"/>
              <w:left w:val="single" w:sz="4" w:space="0" w:color="auto"/>
              <w:bottom w:val="single" w:sz="4" w:space="0" w:color="auto"/>
              <w:right w:val="single" w:sz="4" w:space="0" w:color="auto"/>
            </w:tcBorders>
            <w:vAlign w:val="center"/>
          </w:tcPr>
          <w:p w14:paraId="7EE3901D" w14:textId="1F5B0C0C" w:rsidR="00124F72" w:rsidRDefault="00124F72" w:rsidP="00124F72">
            <w:pPr>
              <w:snapToGrid w:val="0"/>
              <w:rPr>
                <w:rFonts w:eastAsia="宋体"/>
                <w:lang w:val="en-US"/>
              </w:rPr>
            </w:pPr>
            <w:r>
              <w:rPr>
                <w:rFonts w:eastAsia="MS Mincho" w:hint="eastAsia"/>
                <w:lang w:eastAsia="ja-JP"/>
              </w:rPr>
              <w:t>W</w:t>
            </w:r>
            <w:r>
              <w:rPr>
                <w:rFonts w:eastAsia="MS Mincho"/>
                <w:lang w:eastAsia="ja-JP"/>
              </w:rPr>
              <w:t>e support the Option-1 or Option-2. The information whether to keeps LLRs or not in Option-2 could help for gNB scheduling.</w:t>
            </w:r>
          </w:p>
        </w:tc>
      </w:tr>
      <w:tr w:rsidR="00890BF4" w14:paraId="5E73823B" w14:textId="77777777">
        <w:trPr>
          <w:jc w:val="center"/>
        </w:trPr>
        <w:tc>
          <w:tcPr>
            <w:tcW w:w="2155" w:type="dxa"/>
            <w:tcBorders>
              <w:top w:val="single" w:sz="4" w:space="0" w:color="auto"/>
              <w:left w:val="single" w:sz="4" w:space="0" w:color="auto"/>
              <w:bottom w:val="single" w:sz="4" w:space="0" w:color="auto"/>
              <w:right w:val="single" w:sz="4" w:space="0" w:color="auto"/>
            </w:tcBorders>
            <w:vAlign w:val="center"/>
          </w:tcPr>
          <w:p w14:paraId="55803B78" w14:textId="2F501457" w:rsidR="00890BF4" w:rsidRDefault="00890BF4" w:rsidP="00890BF4">
            <w:pPr>
              <w:jc w:val="center"/>
              <w:rPr>
                <w:rFonts w:eastAsia="MS Mincho" w:cs="Arial"/>
                <w:lang w:eastAsia="ja-JP"/>
              </w:rPr>
            </w:pPr>
            <w:r>
              <w:rPr>
                <w:rFonts w:eastAsiaTheme="minorEastAsia" w:cs="Arial"/>
                <w:lang w:val="en-US"/>
              </w:rPr>
              <w:t>Ericsson</w:t>
            </w:r>
          </w:p>
        </w:tc>
        <w:tc>
          <w:tcPr>
            <w:tcW w:w="7020" w:type="dxa"/>
            <w:tcBorders>
              <w:top w:val="single" w:sz="4" w:space="0" w:color="auto"/>
              <w:left w:val="single" w:sz="4" w:space="0" w:color="auto"/>
              <w:bottom w:val="single" w:sz="4" w:space="0" w:color="auto"/>
              <w:right w:val="single" w:sz="4" w:space="0" w:color="auto"/>
            </w:tcBorders>
            <w:vAlign w:val="center"/>
          </w:tcPr>
          <w:p w14:paraId="33765A50" w14:textId="2E2908CD" w:rsidR="00890BF4" w:rsidRDefault="00890BF4" w:rsidP="00890BF4">
            <w:pPr>
              <w:snapToGrid w:val="0"/>
              <w:rPr>
                <w:rFonts w:eastAsia="MS Mincho"/>
                <w:lang w:eastAsia="ja-JP"/>
              </w:rPr>
            </w:pPr>
            <w:r>
              <w:rPr>
                <w:rFonts w:eastAsia="宋体"/>
                <w:lang w:val="en-US"/>
              </w:rPr>
              <w:t xml:space="preserve">We prefer option 3. </w:t>
            </w:r>
          </w:p>
        </w:tc>
      </w:tr>
    </w:tbl>
    <w:p w14:paraId="04BADE5F" w14:textId="77777777" w:rsidR="00671BC8" w:rsidRPr="00671BC8" w:rsidRDefault="00671BC8" w:rsidP="00671BC8">
      <w:pPr>
        <w:pStyle w:val="3"/>
        <w:numPr>
          <w:ilvl w:val="2"/>
          <w:numId w:val="10"/>
        </w:numPr>
        <w:rPr>
          <w:rFonts w:ascii="Times New Roman" w:eastAsiaTheme="minorEastAsia" w:hAnsi="Times New Roman"/>
          <w:b/>
          <w:sz w:val="22"/>
        </w:rPr>
      </w:pPr>
      <w:r w:rsidRPr="00671BC8">
        <w:rPr>
          <w:rFonts w:ascii="Times New Roman" w:eastAsiaTheme="minorEastAsia" w:hAnsi="Times New Roman"/>
          <w:b/>
          <w:sz w:val="22"/>
        </w:rPr>
        <w:t>Updated based on the email discussion [Closed]</w:t>
      </w:r>
    </w:p>
    <w:p w14:paraId="6BA71AC5" w14:textId="434A4E9D" w:rsidR="00671BC8" w:rsidRDefault="00671BC8" w:rsidP="00671BC8">
      <w:pPr>
        <w:rPr>
          <w:b/>
          <w:kern w:val="28"/>
          <w:sz w:val="28"/>
          <w:lang w:val="en-US"/>
        </w:rPr>
      </w:pPr>
      <w:r w:rsidRPr="00671BC8">
        <w:rPr>
          <w:rFonts w:eastAsiaTheme="minorEastAsia"/>
        </w:rPr>
        <w:t>For this topic, based on the 2</w:t>
      </w:r>
      <w:r w:rsidRPr="00671BC8">
        <w:rPr>
          <w:rFonts w:eastAsiaTheme="minorEastAsia"/>
          <w:vertAlign w:val="superscript"/>
        </w:rPr>
        <w:t>nd</w:t>
      </w:r>
      <w:r w:rsidRPr="00671BC8">
        <w:rPr>
          <w:rFonts w:eastAsiaTheme="minorEastAsia"/>
        </w:rPr>
        <w:t xml:space="preserve"> round discussion, it seems that there is still majority to take the LLR combination related as UE’s implementation. Regarding the proponent of Option-2, maybe this topic can be handled in future meeting for UE feature if possible.</w:t>
      </w:r>
    </w:p>
    <w:p w14:paraId="10B12ADC"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t>Issue-6 Restriction on HARQ feedback disabling [Closed]</w:t>
      </w:r>
    </w:p>
    <w:p w14:paraId="77C5E2FB"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7DA1A5B3" w14:textId="77777777" w:rsidR="00AA4AC8" w:rsidRDefault="0082369C">
      <w:pPr>
        <w:snapToGrid w:val="0"/>
        <w:spacing w:beforeLines="50" w:before="120" w:afterLines="50" w:after="120"/>
        <w:ind w:leftChars="100" w:left="200"/>
        <w:rPr>
          <w:rFonts w:eastAsiaTheme="minorEastAsia"/>
        </w:rPr>
      </w:pPr>
      <w:r>
        <w:rPr>
          <w:rFonts w:eastAsiaTheme="minorEastAsia"/>
        </w:rPr>
        <w:t>In RAN1#102e meeting, following agreement has been achieved:</w:t>
      </w:r>
    </w:p>
    <w:p w14:paraId="3D5EC13C" w14:textId="77777777" w:rsidR="00AA4AC8" w:rsidRDefault="0082369C">
      <w:pPr>
        <w:ind w:leftChars="100" w:left="200"/>
      </w:pPr>
      <w:r>
        <w:rPr>
          <w:highlight w:val="green"/>
        </w:rPr>
        <w:t>Agreement:</w:t>
      </w:r>
    </w:p>
    <w:p w14:paraId="7727E25A" w14:textId="77777777" w:rsidR="00AA4AC8" w:rsidRDefault="0082369C">
      <w:pPr>
        <w:ind w:leftChars="100" w:left="200"/>
      </w:pPr>
      <w:r>
        <w:t>Enabling/disabling on HARQ feedback for downlink transmission should be at least configurable per HARQ process via UE specific RRC signaling</w:t>
      </w:r>
    </w:p>
    <w:p w14:paraId="50238271" w14:textId="77777777" w:rsidR="00AA4AC8" w:rsidRDefault="0082369C">
      <w:pPr>
        <w:snapToGrid w:val="0"/>
        <w:spacing w:beforeLines="50" w:before="120" w:afterLines="50" w:after="120"/>
        <w:ind w:left="200"/>
        <w:rPr>
          <w:rFonts w:eastAsiaTheme="minorEastAsia"/>
          <w:b/>
          <w:i/>
        </w:rPr>
      </w:pPr>
      <w:r>
        <w:rPr>
          <w:rFonts w:eastAsiaTheme="minorEastAsia"/>
        </w:rPr>
        <w:t xml:space="preserve">However, in current specification, some mechanisms, i.e., delivering MAC CE command, </w:t>
      </w:r>
      <w:r>
        <w:rPr>
          <w:rFonts w:eastAsiaTheme="minorEastAsia" w:hint="eastAsia"/>
        </w:rPr>
        <w:t>depend</w:t>
      </w:r>
      <w:r>
        <w:rPr>
          <w:rFonts w:eastAsiaTheme="minorEastAsia"/>
        </w:rPr>
        <w:t xml:space="preserve"> on the ACK-NACK feedback. To avoid the potential misalignment between gNB’s and UE’s behaviour, corresponding enhancements have been discussed in past meetings. In this meeting,</w:t>
      </w:r>
      <w:r>
        <w:rPr>
          <w:rFonts w:eastAsiaTheme="minorEastAsia"/>
          <w:b/>
          <w:i/>
        </w:rPr>
        <w:t xml:space="preserve"> following views are summarized:</w:t>
      </w:r>
    </w:p>
    <w:p w14:paraId="7D500AAE" w14:textId="77777777" w:rsidR="00AA4AC8" w:rsidRDefault="0082369C">
      <w:pPr>
        <w:pStyle w:val="ab"/>
        <w:numPr>
          <w:ilvl w:val="0"/>
          <w:numId w:val="27"/>
        </w:numPr>
        <w:suppressAutoHyphens/>
        <w:overflowPunct/>
        <w:autoSpaceDE/>
        <w:autoSpaceDN/>
        <w:snapToGrid w:val="0"/>
        <w:spacing w:beforeLines="50" w:before="120" w:afterLines="50"/>
        <w:textAlignment w:val="auto"/>
        <w:rPr>
          <w:rFonts w:eastAsiaTheme="minorEastAsia"/>
        </w:rPr>
      </w:pPr>
      <w:r>
        <w:rPr>
          <w:rFonts w:eastAsiaTheme="minorEastAsia"/>
        </w:rPr>
        <w:t xml:space="preserve">Option 1: </w:t>
      </w:r>
      <w:r>
        <w:t>UE expects that</w:t>
      </w:r>
      <w:r>
        <w:rPr>
          <w:bCs/>
        </w:rPr>
        <w:t xml:space="preserve"> MAC-CEs are transmitted using HARQ processes with feedback enabled</w:t>
      </w:r>
      <w:r>
        <w:rPr>
          <w:rFonts w:eastAsiaTheme="minorEastAsia"/>
        </w:rPr>
        <w:t>.[CATT,CMCC, CAICT, DCM, Baicell, Sony, IDC]</w:t>
      </w:r>
    </w:p>
    <w:p w14:paraId="02B6A90E" w14:textId="77777777" w:rsidR="00AA4AC8" w:rsidRDefault="0082369C">
      <w:pPr>
        <w:pStyle w:val="ab"/>
        <w:numPr>
          <w:ilvl w:val="1"/>
          <w:numId w:val="27"/>
        </w:numPr>
        <w:suppressAutoHyphens/>
        <w:overflowPunct/>
        <w:autoSpaceDE/>
        <w:autoSpaceDN/>
        <w:snapToGrid w:val="0"/>
        <w:spacing w:beforeLines="50" w:before="120" w:afterLines="50"/>
        <w:textAlignment w:val="auto"/>
        <w:rPr>
          <w:rFonts w:eastAsiaTheme="minorEastAsia"/>
        </w:rPr>
      </w:pPr>
      <w:r>
        <w:rPr>
          <w:rFonts w:ascii="Times New Roman" w:hAnsi="Times New Roman"/>
          <w:bCs/>
          <w:szCs w:val="20"/>
        </w:rPr>
        <w:t>except for TA command indication [CMCC]</w:t>
      </w:r>
    </w:p>
    <w:p w14:paraId="34802AAB" w14:textId="77777777" w:rsidR="00AA4AC8" w:rsidRDefault="0082369C">
      <w:pPr>
        <w:pStyle w:val="ab"/>
        <w:numPr>
          <w:ilvl w:val="0"/>
          <w:numId w:val="27"/>
        </w:numPr>
        <w:suppressAutoHyphens/>
        <w:overflowPunct/>
        <w:autoSpaceDE/>
        <w:autoSpaceDN/>
        <w:snapToGrid w:val="0"/>
        <w:spacing w:beforeLines="50" w:before="120" w:afterLines="50"/>
        <w:textAlignment w:val="auto"/>
        <w:rPr>
          <w:rFonts w:eastAsiaTheme="minorEastAsia"/>
        </w:rPr>
      </w:pPr>
      <w:r>
        <w:rPr>
          <w:rFonts w:eastAsiaTheme="minorEastAsia"/>
        </w:rPr>
        <w:t>Option 2: Up to gNB’s implementation for scheduling [NEC, Panasonic]</w:t>
      </w:r>
    </w:p>
    <w:p w14:paraId="33F1BEE3" w14:textId="77777777" w:rsidR="00AA4AC8" w:rsidRDefault="0082369C">
      <w:pPr>
        <w:snapToGrid w:val="0"/>
        <w:spacing w:beforeLines="50" w:before="120" w:afterLines="50" w:after="120"/>
        <w:ind w:leftChars="100" w:left="200"/>
        <w:rPr>
          <w:rFonts w:eastAsiaTheme="minorEastAsia"/>
        </w:rPr>
      </w:pPr>
      <w:r>
        <w:rPr>
          <w:rFonts w:eastAsiaTheme="minorEastAsia" w:hint="eastAsia"/>
        </w:rPr>
        <w:t xml:space="preserve">Meanwhile, </w:t>
      </w:r>
      <w:r>
        <w:rPr>
          <w:rFonts w:eastAsiaTheme="minorEastAsia"/>
        </w:rPr>
        <w:t xml:space="preserve">[DCM] prefer to mandate that the DCI carrying SPS release signalling and successRAR are transmitted using the HARQ process with enabled feedback. </w:t>
      </w:r>
    </w:p>
    <w:p w14:paraId="5C34CFFF" w14:textId="77777777" w:rsidR="00AA4AC8" w:rsidRDefault="0082369C">
      <w:pPr>
        <w:snapToGrid w:val="0"/>
        <w:spacing w:beforeLines="50" w:before="120" w:afterLines="50" w:after="120"/>
        <w:ind w:leftChars="100" w:left="200"/>
        <w:rPr>
          <w:rFonts w:eastAsiaTheme="minorEastAsia"/>
        </w:rPr>
      </w:pPr>
      <w:r>
        <w:rPr>
          <w:rFonts w:eastAsiaTheme="minorEastAsia"/>
        </w:rPr>
        <w:lastRenderedPageBreak/>
        <w:t>From moderator’s perspective, since we already conclude that ACK-NACK will be reported for DCI carrying SPS release signaling and no need to further mandate the scheduling for this part. Since this issue has been discussed for several meetings and it seems that views from minority is still not changed. However, from specification perspective, it’s better to complete the design to avoid potential error case in future commercial deployment at early stage. Then, following proposal can be considered:</w:t>
      </w:r>
    </w:p>
    <w:p w14:paraId="711C590D" w14:textId="77777777" w:rsidR="00AA4AC8" w:rsidRDefault="0082369C">
      <w:pPr>
        <w:snapToGrid w:val="0"/>
        <w:spacing w:beforeLines="50" w:before="120" w:afterLines="50" w:after="120"/>
        <w:ind w:left="200"/>
        <w:rPr>
          <w:b/>
          <w:color w:val="000000" w:themeColor="text1"/>
        </w:rPr>
      </w:pPr>
      <w:r>
        <w:rPr>
          <w:b/>
          <w:color w:val="000000" w:themeColor="text1"/>
          <w:highlight w:val="yellow"/>
        </w:rPr>
        <w:t xml:space="preserve">[Initial Proposal 6.1]: </w:t>
      </w:r>
      <w:r>
        <w:rPr>
          <w:color w:val="000000" w:themeColor="text1"/>
          <w:highlight w:val="yellow"/>
        </w:rPr>
        <w:t>UE expects that MAC-CEs (except for the TAC command) are transmitted using HARQ processes with feedback enabled.</w:t>
      </w:r>
    </w:p>
    <w:p w14:paraId="67914BBF" w14:textId="77777777" w:rsidR="00AA4AC8" w:rsidRDefault="0082369C">
      <w:pPr>
        <w:snapToGrid w:val="0"/>
        <w:spacing w:beforeLines="50" w:before="120" w:afterLines="50" w:after="120"/>
        <w:ind w:left="424"/>
        <w:rPr>
          <w:iCs/>
        </w:rPr>
      </w:pPr>
      <w:r>
        <w:rPr>
          <w:iCs/>
        </w:rPr>
        <w:t>Please provide your views below</w:t>
      </w:r>
      <w:r>
        <w:rPr>
          <w:rFonts w:hint="eastAsia"/>
          <w:iCs/>
        </w:rPr>
        <w:t>.</w:t>
      </w:r>
      <w:r>
        <w:rPr>
          <w:iCs/>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A4AC8" w14:paraId="454C995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13BA53" w14:textId="77777777" w:rsidR="00AA4AC8" w:rsidRDefault="0082369C">
            <w:pPr>
              <w:jc w:val="center"/>
              <w:rPr>
                <w:b/>
                <w:sz w:val="28"/>
              </w:rPr>
            </w:pPr>
            <w:r>
              <w:rPr>
                <w:b/>
                <w:sz w:val="22"/>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2BDFD71F" w14:textId="77777777" w:rsidR="00AA4AC8" w:rsidRDefault="0082369C">
            <w:pPr>
              <w:jc w:val="center"/>
              <w:rPr>
                <w:b/>
                <w:sz w:val="28"/>
              </w:rPr>
            </w:pPr>
            <w:r>
              <w:rPr>
                <w:b/>
                <w:sz w:val="22"/>
              </w:rPr>
              <w:t>Comments and Views</w:t>
            </w:r>
          </w:p>
        </w:tc>
      </w:tr>
      <w:tr w:rsidR="00AA4AC8" w14:paraId="23836C1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A3EA6A" w14:textId="77777777" w:rsidR="00AA4AC8" w:rsidRDefault="0082369C">
            <w:pPr>
              <w:jc w:val="center"/>
              <w:rPr>
                <w:rFonts w:cs="Arial"/>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9649A61" w14:textId="77777777" w:rsidR="00AA4AC8" w:rsidRDefault="0082369C">
            <w:pPr>
              <w:snapToGrid w:val="0"/>
            </w:pPr>
            <w:r>
              <w:t>No need to capture this as an agreement. In principle, the network could decide to configure for no HARQ feedback on all HARQ processes or even just schedule a MAC-CE on a HARQ process with HARQ feedback disabled. For any of these cases, the gNB would simply have to live with the degraded performance.</w:t>
            </w:r>
          </w:p>
        </w:tc>
      </w:tr>
      <w:tr w:rsidR="00AA4AC8" w14:paraId="02C28707"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D62A63" w14:textId="77777777" w:rsidR="00AA4AC8" w:rsidRDefault="0082369C">
            <w:pPr>
              <w:jc w:val="center"/>
              <w:rPr>
                <w:rFonts w:cs="Arial"/>
              </w:rPr>
            </w:pPr>
            <w:r>
              <w:rPr>
                <w:rFonts w:cs="Arial"/>
              </w:rPr>
              <w:t>NEC</w:t>
            </w:r>
          </w:p>
        </w:tc>
        <w:tc>
          <w:tcPr>
            <w:tcW w:w="6840" w:type="dxa"/>
            <w:tcBorders>
              <w:top w:val="single" w:sz="4" w:space="0" w:color="auto"/>
              <w:left w:val="single" w:sz="4" w:space="0" w:color="auto"/>
              <w:bottom w:val="single" w:sz="4" w:space="0" w:color="auto"/>
              <w:right w:val="single" w:sz="4" w:space="0" w:color="auto"/>
            </w:tcBorders>
            <w:vAlign w:val="center"/>
          </w:tcPr>
          <w:p w14:paraId="4A24D9C0" w14:textId="77777777" w:rsidR="00AA4AC8" w:rsidRDefault="0082369C">
            <w:pPr>
              <w:snapToGrid w:val="0"/>
            </w:pPr>
            <w:r>
              <w:t>Agree with Nokia. It can be left up to gNB implementation whether to use HARQ enabled or disabled process for the transmission of MAC CE.</w:t>
            </w:r>
          </w:p>
        </w:tc>
      </w:tr>
      <w:tr w:rsidR="00AA4AC8" w14:paraId="26D9A36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C2B6B6" w14:textId="77777777" w:rsidR="00AA4AC8" w:rsidRDefault="0082369C">
            <w:pPr>
              <w:jc w:val="center"/>
              <w:rPr>
                <w:rFonts w:eastAsiaTheme="minorEastAsia" w:cs="Arial"/>
              </w:rPr>
            </w:pPr>
            <w:r>
              <w:rPr>
                <w:rFonts w:eastAsiaTheme="minorEastAsia" w:cs="Arial" w:hint="eastAsia"/>
              </w:rPr>
              <w:t>O</w:t>
            </w:r>
            <w:r>
              <w:rPr>
                <w:rFonts w:eastAsiaTheme="minorEastAsia" w:cs="Arial"/>
              </w:rPr>
              <w:t>PPO</w:t>
            </w:r>
          </w:p>
        </w:tc>
        <w:tc>
          <w:tcPr>
            <w:tcW w:w="6840" w:type="dxa"/>
            <w:tcBorders>
              <w:top w:val="single" w:sz="4" w:space="0" w:color="auto"/>
              <w:left w:val="single" w:sz="4" w:space="0" w:color="auto"/>
              <w:bottom w:val="single" w:sz="4" w:space="0" w:color="auto"/>
              <w:right w:val="single" w:sz="4" w:space="0" w:color="auto"/>
            </w:tcBorders>
            <w:vAlign w:val="center"/>
          </w:tcPr>
          <w:p w14:paraId="77E85389" w14:textId="77777777" w:rsidR="00AA4AC8" w:rsidRDefault="0082369C">
            <w:pPr>
              <w:snapToGrid w:val="0"/>
              <w:rPr>
                <w:rFonts w:eastAsiaTheme="minorEastAsia"/>
              </w:rPr>
            </w:pPr>
            <w:r>
              <w:rPr>
                <w:rFonts w:eastAsiaTheme="minorEastAsia" w:hint="eastAsia"/>
              </w:rPr>
              <w:t>W</w:t>
            </w:r>
            <w:r>
              <w:rPr>
                <w:rFonts w:eastAsiaTheme="minorEastAsia"/>
              </w:rPr>
              <w:t>e share same view as Nokia.</w:t>
            </w:r>
          </w:p>
        </w:tc>
      </w:tr>
      <w:tr w:rsidR="00AA4AC8" w14:paraId="7EB95920"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5FAC20" w14:textId="77777777" w:rsidR="00AA4AC8" w:rsidRDefault="0082369C">
            <w:pPr>
              <w:jc w:val="center"/>
              <w:rPr>
                <w:rFonts w:eastAsiaTheme="minorEastAsia" w:cs="Arial"/>
              </w:rPr>
            </w:pPr>
            <w:r>
              <w:rPr>
                <w:rFonts w:eastAsia="MS Mincho" w:cs="Arial"/>
              </w:rPr>
              <w:t>Panasonic</w:t>
            </w:r>
          </w:p>
        </w:tc>
        <w:tc>
          <w:tcPr>
            <w:tcW w:w="6840" w:type="dxa"/>
            <w:tcBorders>
              <w:top w:val="single" w:sz="4" w:space="0" w:color="auto"/>
              <w:left w:val="single" w:sz="4" w:space="0" w:color="auto"/>
              <w:bottom w:val="single" w:sz="4" w:space="0" w:color="auto"/>
              <w:right w:val="single" w:sz="4" w:space="0" w:color="auto"/>
            </w:tcBorders>
            <w:vAlign w:val="center"/>
          </w:tcPr>
          <w:p w14:paraId="1F5AF017" w14:textId="77777777" w:rsidR="00AA4AC8" w:rsidRDefault="0082369C">
            <w:pPr>
              <w:snapToGrid w:val="0"/>
              <w:rPr>
                <w:rFonts w:eastAsiaTheme="minorEastAsia"/>
              </w:rPr>
            </w:pPr>
            <w:r>
              <w:rPr>
                <w:rFonts w:eastAsia="MS Mincho"/>
              </w:rPr>
              <w:t xml:space="preserve">Not supportive. This should be gNB implementation matter. </w:t>
            </w:r>
          </w:p>
        </w:tc>
      </w:tr>
      <w:tr w:rsidR="00AA4AC8" w14:paraId="668CD96C"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9D185D" w14:textId="77777777" w:rsidR="00AA4AC8" w:rsidRDefault="0082369C">
            <w:pPr>
              <w:jc w:val="center"/>
              <w:rPr>
                <w:rFonts w:eastAsiaTheme="minorEastAsia" w:cs="Arial"/>
              </w:rPr>
            </w:pPr>
            <w:r>
              <w:rPr>
                <w:rFonts w:eastAsiaTheme="minorEastAsia" w:cs="Arial" w:hint="eastAsia"/>
              </w:rPr>
              <w:t>Z</w:t>
            </w:r>
            <w:r>
              <w:rPr>
                <w:rFonts w:eastAsiaTheme="minorEastAsia" w:cs="Arial"/>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0BC6573" w14:textId="77777777" w:rsidR="00AA4AC8" w:rsidRDefault="0082369C">
            <w:pPr>
              <w:snapToGrid w:val="0"/>
              <w:rPr>
                <w:rFonts w:eastAsiaTheme="minorEastAsia"/>
              </w:rPr>
            </w:pPr>
            <w:r>
              <w:rPr>
                <w:rFonts w:eastAsiaTheme="minorEastAsia" w:hint="eastAsia"/>
              </w:rPr>
              <w:t>P</w:t>
            </w:r>
            <w:r>
              <w:rPr>
                <w:rFonts w:eastAsiaTheme="minorEastAsia"/>
              </w:rPr>
              <w:t>refer to highlight the cases, but if no consensus, it will be up to the implementation by default.</w:t>
            </w:r>
          </w:p>
        </w:tc>
      </w:tr>
      <w:tr w:rsidR="00AA4AC8" w14:paraId="2A252F9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7DEC9C" w14:textId="77777777" w:rsidR="00AA4AC8" w:rsidRDefault="0082369C">
            <w:pPr>
              <w:jc w:val="center"/>
              <w:rPr>
                <w:rFonts w:eastAsiaTheme="minorEastAsia" w:cs="Arial"/>
              </w:rPr>
            </w:pPr>
            <w:r>
              <w:rPr>
                <w:rFonts w:eastAsiaTheme="minorEastAsia" w:cs="Arial" w:hint="eastAsia"/>
              </w:rPr>
              <w:t>C</w:t>
            </w:r>
            <w:r>
              <w:rPr>
                <w:rFonts w:eastAsiaTheme="minorEastAsia" w:cs="Arial"/>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DEAF77D" w14:textId="77777777" w:rsidR="00AA4AC8" w:rsidRDefault="0082369C">
            <w:pPr>
              <w:snapToGrid w:val="0"/>
              <w:rPr>
                <w:rFonts w:eastAsiaTheme="minorEastAsia"/>
              </w:rPr>
            </w:pPr>
            <w:r>
              <w:rPr>
                <w:rFonts w:eastAsiaTheme="minorEastAsia" w:hint="eastAsia"/>
              </w:rPr>
              <w:t>S</w:t>
            </w:r>
            <w:r>
              <w:rPr>
                <w:rFonts w:eastAsiaTheme="minorEastAsia"/>
              </w:rPr>
              <w:t>upport.</w:t>
            </w:r>
          </w:p>
        </w:tc>
      </w:tr>
      <w:tr w:rsidR="00AA4AC8" w14:paraId="6A28A5EF"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9F314E" w14:textId="77777777" w:rsidR="00AA4AC8" w:rsidRDefault="0082369C">
            <w:pPr>
              <w:jc w:val="center"/>
              <w:rPr>
                <w:rFonts w:eastAsiaTheme="minorEastAsia" w:cs="Arial"/>
              </w:rPr>
            </w:pPr>
            <w:r>
              <w:rPr>
                <w:rFonts w:eastAsiaTheme="minorEastAsia"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93376CB" w14:textId="77777777" w:rsidR="00AA4AC8" w:rsidRDefault="0082369C">
            <w:pPr>
              <w:snapToGrid w:val="0"/>
              <w:spacing w:after="0"/>
              <w:rPr>
                <w:rFonts w:eastAsiaTheme="minorEastAsia"/>
              </w:rPr>
            </w:pPr>
            <w:r>
              <w:rPr>
                <w:rFonts w:eastAsiaTheme="minorEastAsia"/>
              </w:rPr>
              <w:t xml:space="preserve">Do not support. It is a gNB implementation. </w:t>
            </w:r>
          </w:p>
          <w:p w14:paraId="56613485" w14:textId="77777777" w:rsidR="00AA4AC8" w:rsidRDefault="0082369C">
            <w:pPr>
              <w:snapToGrid w:val="0"/>
              <w:rPr>
                <w:rFonts w:eastAsiaTheme="minorEastAsia"/>
              </w:rPr>
            </w:pPr>
            <w:r>
              <w:rPr>
                <w:rFonts w:eastAsiaTheme="minorEastAsia"/>
              </w:rPr>
              <w:t>Also, RRC reconfigurations are as important as MAC CEs – it is higher layer control information in general.</w:t>
            </w:r>
          </w:p>
        </w:tc>
      </w:tr>
      <w:tr w:rsidR="00AA4AC8" w14:paraId="62B1D78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72B6F0" w14:textId="77777777" w:rsidR="00AA4AC8" w:rsidRDefault="0082369C">
            <w:pPr>
              <w:jc w:val="center"/>
              <w:rPr>
                <w:rFonts w:eastAsiaTheme="minorEastAsia" w:cs="Arial"/>
              </w:rPr>
            </w:pPr>
            <w:r>
              <w:rPr>
                <w:rFonts w:eastAsiaTheme="minorEastAsia" w:cs="Arial"/>
              </w:rPr>
              <w:t>InterDigital</w:t>
            </w:r>
          </w:p>
        </w:tc>
        <w:tc>
          <w:tcPr>
            <w:tcW w:w="6840" w:type="dxa"/>
            <w:tcBorders>
              <w:top w:val="single" w:sz="4" w:space="0" w:color="auto"/>
              <w:left w:val="single" w:sz="4" w:space="0" w:color="auto"/>
              <w:bottom w:val="single" w:sz="4" w:space="0" w:color="auto"/>
              <w:right w:val="single" w:sz="4" w:space="0" w:color="auto"/>
            </w:tcBorders>
            <w:vAlign w:val="center"/>
          </w:tcPr>
          <w:p w14:paraId="2FE0EB5B" w14:textId="77777777" w:rsidR="00AA4AC8" w:rsidRDefault="0082369C">
            <w:pPr>
              <w:snapToGrid w:val="0"/>
              <w:spacing w:after="0"/>
              <w:rPr>
                <w:rFonts w:eastAsiaTheme="minorEastAsia"/>
              </w:rPr>
            </w:pPr>
            <w:r>
              <w:rPr>
                <w:rFonts w:eastAsiaTheme="minorEastAsia"/>
              </w:rPr>
              <w:t>Support. It is important to know whether UE has to assume that MAC-CE can be transmitted in PDSCH with HARQ process with feedback disabled or not.</w:t>
            </w:r>
          </w:p>
        </w:tc>
      </w:tr>
      <w:tr w:rsidR="00AA4AC8" w14:paraId="7EBA0B54"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A71FBA" w14:textId="77777777" w:rsidR="00AA4AC8" w:rsidRDefault="0082369C">
            <w:pPr>
              <w:jc w:val="center"/>
              <w:rPr>
                <w:rFonts w:eastAsiaTheme="minorEastAsia" w:cs="Arial"/>
              </w:rPr>
            </w:pPr>
            <w:r>
              <w:rPr>
                <w:rFonts w:eastAsiaTheme="minorEastAsia" w:cs="Arial" w:hint="eastAsia"/>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57904CD" w14:textId="77777777" w:rsidR="00AA4AC8" w:rsidRDefault="0082369C">
            <w:pPr>
              <w:snapToGrid w:val="0"/>
              <w:spacing w:after="0"/>
              <w:rPr>
                <w:rFonts w:eastAsiaTheme="minorEastAsia"/>
              </w:rPr>
            </w:pPr>
            <w:r>
              <w:rPr>
                <w:rFonts w:eastAsiaTheme="minorEastAsia"/>
              </w:rPr>
              <w:t>Support</w:t>
            </w:r>
          </w:p>
        </w:tc>
      </w:tr>
      <w:tr w:rsidR="00AA4AC8" w14:paraId="75A9B89E"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519412" w14:textId="77777777" w:rsidR="00AA4AC8" w:rsidRDefault="0082369C">
            <w:pPr>
              <w:jc w:val="center"/>
              <w:rPr>
                <w:rFonts w:eastAsiaTheme="minorEastAsia" w:cs="Arial"/>
              </w:rPr>
            </w:pPr>
            <w:r>
              <w:rPr>
                <w:rFonts w:eastAsiaTheme="minorEastAsia" w:cs="Arial"/>
              </w:rPr>
              <w:t>Huawei, HiSilicon</w:t>
            </w:r>
          </w:p>
        </w:tc>
        <w:tc>
          <w:tcPr>
            <w:tcW w:w="6840" w:type="dxa"/>
            <w:tcBorders>
              <w:top w:val="single" w:sz="4" w:space="0" w:color="auto"/>
              <w:left w:val="single" w:sz="4" w:space="0" w:color="auto"/>
              <w:bottom w:val="single" w:sz="4" w:space="0" w:color="auto"/>
              <w:right w:val="single" w:sz="4" w:space="0" w:color="auto"/>
            </w:tcBorders>
            <w:vAlign w:val="center"/>
          </w:tcPr>
          <w:p w14:paraId="4EAA486F" w14:textId="77777777" w:rsidR="00AA4AC8" w:rsidRDefault="0082369C">
            <w:pPr>
              <w:snapToGrid w:val="0"/>
              <w:spacing w:after="0"/>
              <w:rPr>
                <w:rFonts w:eastAsiaTheme="minorEastAsia"/>
              </w:rPr>
            </w:pPr>
            <w:r>
              <w:rPr>
                <w:rFonts w:eastAsiaTheme="minorEastAsia"/>
              </w:rPr>
              <w:t>We are ok with the proposal.</w:t>
            </w:r>
          </w:p>
        </w:tc>
      </w:tr>
      <w:tr w:rsidR="00AA4AC8" w14:paraId="75C0A7A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1C6DA1" w14:textId="77777777" w:rsidR="00AA4AC8" w:rsidRDefault="0082369C">
            <w:pPr>
              <w:jc w:val="center"/>
              <w:rPr>
                <w:rFonts w:eastAsiaTheme="minorEastAsia" w:cs="Arial"/>
              </w:rPr>
            </w:pPr>
            <w:r>
              <w:rPr>
                <w:rFonts w:eastAsia="MS Mincho" w:cs="Arial" w:hint="eastAsia"/>
                <w:lang w:eastAsia="ja-JP"/>
              </w:rPr>
              <w:t>S</w:t>
            </w:r>
            <w:r>
              <w:rPr>
                <w:rFonts w:eastAsia="MS Mincho" w:cs="Arial"/>
                <w:lang w:eastAsia="ja-JP"/>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CA66013" w14:textId="77777777" w:rsidR="00AA4AC8" w:rsidRDefault="0082369C">
            <w:pPr>
              <w:snapToGrid w:val="0"/>
              <w:spacing w:after="0"/>
              <w:rPr>
                <w:rFonts w:eastAsiaTheme="minorEastAsia"/>
              </w:rPr>
            </w:pPr>
            <w:r>
              <w:rPr>
                <w:rFonts w:eastAsia="MS Mincho" w:hint="eastAsia"/>
                <w:lang w:eastAsia="ja-JP"/>
              </w:rPr>
              <w:t>S</w:t>
            </w:r>
            <w:r>
              <w:rPr>
                <w:rFonts w:eastAsia="MS Mincho"/>
                <w:lang w:eastAsia="ja-JP"/>
              </w:rPr>
              <w:t>upport the proposal.</w:t>
            </w:r>
          </w:p>
        </w:tc>
      </w:tr>
      <w:tr w:rsidR="00AA4AC8" w14:paraId="085CD1D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EC509C" w14:textId="77777777" w:rsidR="00AA4AC8" w:rsidRDefault="0082369C">
            <w:pPr>
              <w:jc w:val="center"/>
              <w:rPr>
                <w:rFonts w:eastAsiaTheme="minorEastAsia" w:cs="Arial"/>
              </w:rPr>
            </w:pPr>
            <w:r>
              <w:rPr>
                <w:rFonts w:eastAsiaTheme="minorEastAsia" w:cs="Arial"/>
              </w:rPr>
              <w:t>NTT DOCOMO</w:t>
            </w:r>
          </w:p>
        </w:tc>
        <w:tc>
          <w:tcPr>
            <w:tcW w:w="6840" w:type="dxa"/>
            <w:tcBorders>
              <w:top w:val="single" w:sz="4" w:space="0" w:color="auto"/>
              <w:left w:val="single" w:sz="4" w:space="0" w:color="auto"/>
              <w:bottom w:val="single" w:sz="4" w:space="0" w:color="auto"/>
              <w:right w:val="single" w:sz="4" w:space="0" w:color="auto"/>
            </w:tcBorders>
            <w:vAlign w:val="center"/>
          </w:tcPr>
          <w:p w14:paraId="56DD719F" w14:textId="77777777" w:rsidR="00AA4AC8" w:rsidRDefault="0082369C">
            <w:pPr>
              <w:snapToGrid w:val="0"/>
              <w:spacing w:after="0"/>
              <w:rPr>
                <w:rFonts w:eastAsiaTheme="minorEastAsia"/>
              </w:rPr>
            </w:pPr>
            <w:r>
              <w:rPr>
                <w:rFonts w:eastAsiaTheme="minorEastAsia"/>
              </w:rPr>
              <w:t>Support.</w:t>
            </w:r>
          </w:p>
        </w:tc>
      </w:tr>
      <w:tr w:rsidR="00AA4AC8" w14:paraId="751C4F8A"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EA8F86" w14:textId="77777777" w:rsidR="00AA4AC8" w:rsidRDefault="0082369C">
            <w:pPr>
              <w:jc w:val="center"/>
              <w:rPr>
                <w:rFonts w:eastAsiaTheme="minorEastAsia" w:cs="Arial"/>
              </w:rPr>
            </w:pPr>
            <w:r>
              <w:rPr>
                <w:rFonts w:eastAsiaTheme="minorEastAsia" w:cs="Arial" w:hint="eastAsia"/>
              </w:rPr>
              <w:t>v</w:t>
            </w:r>
            <w:r>
              <w:rPr>
                <w:rFonts w:eastAsiaTheme="minorEastAsia" w:cs="Arial"/>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090FBE5" w14:textId="77777777" w:rsidR="00AA4AC8" w:rsidRDefault="0082369C">
            <w:pPr>
              <w:snapToGrid w:val="0"/>
              <w:spacing w:after="0"/>
              <w:rPr>
                <w:rFonts w:eastAsia="MS Mincho"/>
                <w:lang w:eastAsia="ja-JP"/>
              </w:rPr>
            </w:pPr>
            <w:r>
              <w:rPr>
                <w:rFonts w:hint="eastAsia"/>
              </w:rPr>
              <w:t>S</w:t>
            </w:r>
            <w:r>
              <w:t>hare the same view as Nokia.</w:t>
            </w:r>
          </w:p>
        </w:tc>
      </w:tr>
      <w:tr w:rsidR="00AA4AC8" w14:paraId="0CF3211D"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2448AF" w14:textId="77777777" w:rsidR="00AA4AC8" w:rsidRDefault="0082369C">
            <w:pPr>
              <w:jc w:val="center"/>
              <w:rPr>
                <w:rFonts w:eastAsiaTheme="minorEastAsia" w:cs="Arial"/>
              </w:rPr>
            </w:pPr>
            <w:r>
              <w:rPr>
                <w:rFonts w:eastAsiaTheme="minorEastAsia" w:cs="Arial" w:hint="eastAsia"/>
              </w:rPr>
              <w:t>C</w:t>
            </w:r>
            <w:r>
              <w:rPr>
                <w:rFonts w:eastAsiaTheme="minorEastAsia" w:cs="Arial"/>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3D053C9D" w14:textId="77777777" w:rsidR="00AA4AC8" w:rsidRDefault="0082369C">
            <w:pPr>
              <w:snapToGrid w:val="0"/>
              <w:spacing w:after="0"/>
              <w:rPr>
                <w:rFonts w:eastAsia="MS Mincho"/>
                <w:lang w:eastAsia="ja-JP"/>
              </w:rPr>
            </w:pPr>
            <w:r>
              <w:rPr>
                <w:rFonts w:eastAsiaTheme="minorEastAsia"/>
              </w:rPr>
              <w:t>Support</w:t>
            </w:r>
          </w:p>
        </w:tc>
      </w:tr>
      <w:tr w:rsidR="00AA4AC8" w14:paraId="08CEEC25" w14:textId="77777777">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4A1359" w14:textId="77777777" w:rsidR="00AA4AC8" w:rsidRDefault="0082369C">
            <w:pPr>
              <w:jc w:val="center"/>
              <w:rPr>
                <w:rFonts w:eastAsiaTheme="minorEastAsia" w:cs="Arial"/>
              </w:rPr>
            </w:pPr>
            <w:r>
              <w:rPr>
                <w:rFonts w:eastAsiaTheme="minorEastAsia"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42D537EA" w14:textId="77777777" w:rsidR="00AA4AC8" w:rsidRDefault="0082369C">
            <w:pPr>
              <w:snapToGrid w:val="0"/>
              <w:spacing w:after="0"/>
              <w:rPr>
                <w:rFonts w:eastAsiaTheme="minorEastAsia"/>
              </w:rPr>
            </w:pPr>
            <w:r>
              <w:rPr>
                <w:rFonts w:eastAsiaTheme="minorEastAsia"/>
              </w:rPr>
              <w:t>Support</w:t>
            </w:r>
          </w:p>
        </w:tc>
      </w:tr>
    </w:tbl>
    <w:p w14:paraId="0545FCA5" w14:textId="77777777"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 xml:space="preserve">Summary based on the email discussion </w:t>
      </w:r>
    </w:p>
    <w:p w14:paraId="68F9F811" w14:textId="77777777" w:rsidR="00AA4AC8" w:rsidRDefault="0082369C">
      <w:pPr>
        <w:pStyle w:val="afc"/>
        <w:adjustRightInd w:val="0"/>
        <w:snapToGrid w:val="0"/>
        <w:ind w:left="420"/>
        <w:rPr>
          <w:rFonts w:ascii="Times New Roman" w:hAnsi="Times New Roman"/>
          <w:b/>
          <w:kern w:val="28"/>
          <w:sz w:val="28"/>
        </w:rPr>
      </w:pPr>
      <w:r>
        <w:rPr>
          <w:rFonts w:ascii="Times New Roman" w:eastAsiaTheme="minorEastAsia" w:hAnsi="Times New Roman"/>
          <w:sz w:val="20"/>
          <w:szCs w:val="20"/>
        </w:rPr>
        <w:t xml:space="preserve">Based on the feedback, it seems that companies’ views are still unchanged with similar situation as previous meeting. Then, from moderator’s perspective, there is no need to specify the additional restriction/recommendation for the scheduling, it will be up to the gNB’s implementation. Then, from moderator’s perspective, </w:t>
      </w:r>
      <w:r>
        <w:rPr>
          <w:rFonts w:ascii="Times New Roman" w:eastAsiaTheme="minorEastAsia" w:hAnsi="Times New Roman"/>
          <w:b/>
          <w:sz w:val="20"/>
          <w:szCs w:val="20"/>
          <w:highlight w:val="yellow"/>
        </w:rPr>
        <w:t>we can close this topic for Rel-17 and no further discussion on this aspect is expected.</w:t>
      </w:r>
    </w:p>
    <w:p w14:paraId="58AE91DF"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rPr>
      </w:pPr>
      <w:r>
        <w:rPr>
          <w:rFonts w:ascii="Times New Roman" w:hAnsi="Times New Roman"/>
          <w:b/>
          <w:kern w:val="28"/>
          <w:sz w:val="28"/>
          <w:lang w:val="en-US"/>
        </w:rPr>
        <w:lastRenderedPageBreak/>
        <w:t>Issue-7 PUSCH scheduling restriction [L]</w:t>
      </w:r>
    </w:p>
    <w:p w14:paraId="3C1EEEDB" w14:textId="77777777" w:rsidR="00AA4AC8" w:rsidRDefault="0082369C">
      <w:pPr>
        <w:spacing w:beforeLines="50" w:before="120" w:after="120"/>
        <w:ind w:leftChars="100" w:left="200"/>
        <w:rPr>
          <w:rFonts w:eastAsia="Calibri"/>
          <w:b/>
          <w:bCs/>
        </w:rPr>
      </w:pPr>
      <w:r>
        <w:t xml:space="preserve">In this meeting, same proposal from </w:t>
      </w:r>
      <w:r>
        <w:rPr>
          <w:rFonts w:eastAsiaTheme="minorEastAsia" w:hint="eastAsia"/>
        </w:rPr>
        <w:t>[</w:t>
      </w:r>
      <w:r>
        <w:rPr>
          <w:rFonts w:eastAsiaTheme="minorEastAsia"/>
        </w:rPr>
        <w:t xml:space="preserve">Qualcomm] is provided to enable </w:t>
      </w:r>
      <w:r>
        <w:rPr>
          <w:rFonts w:eastAsia="Calibri"/>
          <w:bCs/>
        </w:rPr>
        <w:t xml:space="preserve">UE, which may receive a DCI scheduling a PUSCH of a given HARQ process before the end of the transmission of another PUSCH of that HARQ process as shown below. </w:t>
      </w:r>
    </w:p>
    <w:p w14:paraId="09BE0F0B" w14:textId="77777777" w:rsidR="00AA4AC8" w:rsidRDefault="0082369C">
      <w:pPr>
        <w:spacing w:beforeLines="50" w:before="120" w:after="120"/>
        <w:ind w:leftChars="100" w:left="200"/>
        <w:jc w:val="center"/>
        <w:rPr>
          <w:rFonts w:eastAsiaTheme="minorEastAsia"/>
        </w:rPr>
      </w:pPr>
      <w:r>
        <w:object w:dxaOrig="7441" w:dyaOrig="3694" w14:anchorId="5403E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185.5pt" o:ole="">
            <v:imagedata r:id="rId13" o:title=""/>
          </v:shape>
          <o:OLEObject Type="Embed" ProgID="Visio.Drawing.15" ShapeID="_x0000_i1025" DrawAspect="Content" ObjectID="_1698827561" r:id="rId14"/>
        </w:object>
      </w:r>
    </w:p>
    <w:p w14:paraId="5B53D769" w14:textId="77777777" w:rsidR="00AA4AC8" w:rsidRDefault="0082369C">
      <w:pPr>
        <w:spacing w:beforeLines="50" w:before="120" w:after="120"/>
        <w:ind w:leftChars="100" w:left="200"/>
      </w:pPr>
      <w:r>
        <w:rPr>
          <w:rFonts w:eastAsiaTheme="minorEastAsia"/>
        </w:rPr>
        <w:t>[OPPO</w:t>
      </w:r>
      <w:r>
        <w:rPr>
          <w:rFonts w:eastAsiaTheme="minorEastAsia" w:hint="eastAsia"/>
        </w:rPr>
        <w:t>]</w:t>
      </w:r>
      <w:r>
        <w:rPr>
          <w:rFonts w:eastAsiaTheme="minorEastAsia"/>
        </w:rPr>
        <w:t xml:space="preserve"> also propose to define a minimum gap (e.g., T_proc,2) between two PUSCHs of a HARQ process and clarify the PUSCH transmission constraint and PDSCH reception constraint for a given enabled UL and DL HARQ process, respectively.</w:t>
      </w:r>
    </w:p>
    <w:p w14:paraId="3A7BBCBF" w14:textId="77777777" w:rsidR="00AA4AC8" w:rsidRDefault="0082369C">
      <w:pPr>
        <w:pStyle w:val="ab"/>
        <w:jc w:val="center"/>
      </w:pPr>
      <w:r>
        <w:object w:dxaOrig="5664" w:dyaOrig="1317" w14:anchorId="34D8094F">
          <v:shape id="_x0000_i1026" type="#_x0000_t75" style="width:282pt;height:65pt" o:ole="">
            <v:imagedata r:id="rId15" o:title=""/>
          </v:shape>
          <o:OLEObject Type="Embed" ProgID="Visio.Drawing.15" ShapeID="_x0000_i1026" DrawAspect="Content" ObjectID="_1698827562" r:id="rId16"/>
        </w:object>
      </w:r>
      <w:r>
        <w:t xml:space="preserve"> </w:t>
      </w:r>
    </w:p>
    <w:p w14:paraId="3804D0EA" w14:textId="77777777" w:rsidR="00AA4AC8" w:rsidRDefault="0082369C">
      <w:pPr>
        <w:pStyle w:val="ab"/>
        <w:jc w:val="center"/>
      </w:pPr>
      <w:r>
        <w:object w:dxaOrig="5674" w:dyaOrig="1670" w14:anchorId="5EE9EECB">
          <v:shape id="_x0000_i1027" type="#_x0000_t75" style="width:284.5pt;height:83.5pt" o:ole="">
            <v:imagedata r:id="rId17" o:title=""/>
          </v:shape>
          <o:OLEObject Type="Embed" ProgID="Visio.Drawing.15" ShapeID="_x0000_i1027" DrawAspect="Content" ObjectID="_1698827563" r:id="rId18"/>
        </w:object>
      </w:r>
    </w:p>
    <w:p w14:paraId="2BCF7F92" w14:textId="77777777" w:rsidR="00AA4AC8" w:rsidRDefault="0082369C">
      <w:pPr>
        <w:spacing w:beforeLines="50" w:before="120" w:after="120"/>
        <w:ind w:leftChars="100" w:left="200"/>
        <w:rPr>
          <w:rFonts w:eastAsiaTheme="minorEastAsia"/>
        </w:rPr>
      </w:pPr>
      <w:r>
        <w:rPr>
          <w:rFonts w:eastAsiaTheme="minorEastAsia" w:hint="eastAsia"/>
        </w:rPr>
        <w:t xml:space="preserve">However, </w:t>
      </w:r>
      <w:r>
        <w:rPr>
          <w:rFonts w:eastAsiaTheme="minorEastAsia"/>
        </w:rPr>
        <w:t xml:space="preserve">according to the discussion in previous meeting, from moderator perspective: </w:t>
      </w:r>
    </w:p>
    <w:p w14:paraId="525DC05B" w14:textId="77777777" w:rsidR="00AA4AC8" w:rsidRDefault="0082369C">
      <w:pPr>
        <w:pStyle w:val="afc"/>
        <w:numPr>
          <w:ilvl w:val="0"/>
          <w:numId w:val="28"/>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rPr>
        <w:t>According to existing process, only HARQ feedback disabling for the DL transmission is agreed, no additional enhancement has been considered for UL transmission.</w:t>
      </w:r>
    </w:p>
    <w:p w14:paraId="71A9455D" w14:textId="77777777" w:rsidR="00AA4AC8" w:rsidRDefault="0082369C">
      <w:pPr>
        <w:pStyle w:val="afc"/>
        <w:ind w:left="560"/>
        <w:rPr>
          <w:rFonts w:ascii="Times New Roman" w:hAnsi="Times New Roman"/>
          <w:i/>
          <w:sz w:val="20"/>
          <w:szCs w:val="20"/>
        </w:rPr>
      </w:pPr>
      <w:r>
        <w:rPr>
          <w:rFonts w:ascii="Times New Roman" w:hAnsi="Times New Roman"/>
          <w:i/>
          <w:sz w:val="20"/>
          <w:szCs w:val="20"/>
          <w:highlight w:val="green"/>
        </w:rPr>
        <w:t>Agreement:</w:t>
      </w:r>
    </w:p>
    <w:p w14:paraId="05D6E69E" w14:textId="77777777" w:rsidR="00AA4AC8" w:rsidRDefault="0082369C">
      <w:pPr>
        <w:pStyle w:val="afc"/>
        <w:ind w:left="560"/>
        <w:rPr>
          <w:rFonts w:ascii="Times New Roman" w:hAnsi="Times New Roman"/>
          <w:i/>
          <w:sz w:val="20"/>
          <w:szCs w:val="20"/>
        </w:rPr>
      </w:pPr>
      <w:r>
        <w:rPr>
          <w:rFonts w:ascii="Times New Roman" w:hAnsi="Times New Roman"/>
          <w:i/>
          <w:sz w:val="20"/>
          <w:szCs w:val="20"/>
        </w:rPr>
        <w:t>Enabling/disabling on HARQ feedback for downlink transmission should be at least configurable per HARQ process via UE specific RRC signaling</w:t>
      </w:r>
    </w:p>
    <w:p w14:paraId="2059E92F" w14:textId="77777777" w:rsidR="00AA4AC8" w:rsidRDefault="00AA4AC8">
      <w:pPr>
        <w:pStyle w:val="afc"/>
        <w:ind w:left="560"/>
        <w:rPr>
          <w:rFonts w:ascii="Times New Roman" w:hAnsi="Times New Roman"/>
          <w:i/>
          <w:sz w:val="20"/>
          <w:szCs w:val="20"/>
        </w:rPr>
      </w:pPr>
    </w:p>
    <w:p w14:paraId="345362E0" w14:textId="77777777" w:rsidR="00AA4AC8" w:rsidRDefault="0082369C">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Agreement from RAN2#112e:</w:t>
      </w:r>
    </w:p>
    <w:p w14:paraId="7E050B0E" w14:textId="77777777" w:rsidR="00AA4AC8" w:rsidRDefault="0082369C">
      <w:pPr>
        <w:pStyle w:val="Doc-text2"/>
        <w:numPr>
          <w:ilvl w:val="0"/>
          <w:numId w:val="29"/>
        </w:num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22861691" w14:textId="77777777" w:rsidR="00AA4AC8" w:rsidRDefault="00AA4AC8">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p>
    <w:p w14:paraId="0D1C8388" w14:textId="77777777" w:rsidR="00AA4AC8" w:rsidRDefault="0082369C">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rPr>
      </w:pPr>
      <w:r>
        <w:rPr>
          <w:rFonts w:ascii="Times New Roman" w:hAnsi="Times New Roman"/>
        </w:rPr>
        <w:t>Agreement:</w:t>
      </w:r>
    </w:p>
    <w:p w14:paraId="19EEBD7E" w14:textId="77777777" w:rsidR="00AA4AC8" w:rsidRDefault="0082369C">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1. For HARQ state B, FFS to run drx-RetransmissionTimerUL for blind UL retransmission</w:t>
      </w:r>
    </w:p>
    <w:p w14:paraId="76E85061" w14:textId="77777777" w:rsidR="00AA4AC8" w:rsidRDefault="0082369C">
      <w:pPr>
        <w:pStyle w:val="Doc-text2"/>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lastRenderedPageBreak/>
        <w:t>2. UE configured with an UL HARQ retransmission state (i.e. A or B) will always act as indicated in a grant/assignment provided during a valid occasion (i.e. subject to legacy restrictions in e.g. MAC and RAN1 specifications). (No RAN2 specification impact)</w:t>
      </w:r>
    </w:p>
    <w:p w14:paraId="49608FA0" w14:textId="77777777" w:rsidR="00AA4AC8" w:rsidRDefault="0082369C">
      <w:pPr>
        <w:pStyle w:val="afc"/>
        <w:numPr>
          <w:ilvl w:val="0"/>
          <w:numId w:val="28"/>
        </w:numPr>
        <w:spacing w:beforeLines="50" w:before="120" w:after="120"/>
        <w:rPr>
          <w:rFonts w:ascii="Times New Roman" w:eastAsiaTheme="minorEastAsia" w:hAnsi="Times New Roman"/>
          <w:sz w:val="20"/>
          <w:szCs w:val="20"/>
        </w:rPr>
      </w:pPr>
      <w:r>
        <w:rPr>
          <w:rFonts w:ascii="Times New Roman" w:eastAsiaTheme="minorEastAsia" w:hAnsi="Times New Roman"/>
          <w:sz w:val="20"/>
          <w:szCs w:val="20"/>
        </w:rPr>
        <w:t>In the existing specification, w.r.t the PUSCH scheduling, followings are defined in 38.214:</w:t>
      </w:r>
    </w:p>
    <w:p w14:paraId="1872C6AB" w14:textId="77777777" w:rsidR="00AA4AC8" w:rsidRDefault="0082369C">
      <w:pPr>
        <w:pStyle w:val="afc"/>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t>The UE is not expected to be scheduled to transmit another PUSCH by DCI format 0_0, 0_1 or 0_2 scrambled by C-RNTI or MCS-C-RNTI for a given HARQ process until after the end of the expected transmission of the last PUSCH for that HARQ process.</w:t>
      </w:r>
    </w:p>
    <w:p w14:paraId="063C43EC" w14:textId="77777777" w:rsidR="00AA4AC8" w:rsidRDefault="0082369C">
      <w:pPr>
        <w:pStyle w:val="afc"/>
        <w:spacing w:beforeLines="50" w:before="120" w:after="120"/>
        <w:ind w:left="560"/>
        <w:rPr>
          <w:rFonts w:ascii="Times New Roman" w:eastAsia="等线" w:hAnsi="Times New Roman"/>
          <w:i/>
          <w:color w:val="000000"/>
          <w:sz w:val="20"/>
          <w:szCs w:val="20"/>
        </w:rPr>
      </w:pPr>
      <w:r>
        <w:rPr>
          <w:rFonts w:ascii="Times New Roman" w:eastAsia="等线" w:hAnsi="Times New Roman"/>
          <w:i/>
          <w:color w:val="000000"/>
          <w:sz w:val="20"/>
          <w:szCs w:val="20"/>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9" w:name="_Hlk496824026"/>
      <w:bookmarkEnd w:id="9"/>
      <w:r>
        <w:rPr>
          <w:rFonts w:ascii="Times New Roman" w:eastAsia="等线" w:hAnsi="Times New Roman"/>
          <w:i/>
          <w:color w:val="000000"/>
          <w:sz w:val="20"/>
          <w:szCs w:val="20"/>
        </w:rPr>
        <w:t xml:space="preserve">L2 is defined as the next uplink symbol with its CP starting </w:t>
      </w:r>
      <w:bookmarkStart w:id="10" w:name="_Hlk45746554"/>
      <w:bookmarkEnd w:id="10"/>
      <w:r>
        <w:rPr>
          <w:rFonts w:ascii="Times New Roman" w:eastAsia="等线" w:hAnsi="Times New Roman"/>
          <w:i/>
          <w:color w:val="000000"/>
          <w:sz w:val="20"/>
          <w:szCs w:val="20"/>
        </w:rPr>
        <w:t xml:space="preserve"> </w:t>
      </w:r>
      <m:oMath>
        <m:sSub>
          <m:sSubPr>
            <m:ctrlPr>
              <w:rPr>
                <w:rFonts w:ascii="Cambria Math" w:eastAsia="等线" w:hAnsi="Cambria Math"/>
                <w:i/>
                <w:color w:val="000000"/>
                <w:sz w:val="20"/>
                <w:szCs w:val="20"/>
              </w:rPr>
            </m:ctrlPr>
          </m:sSubPr>
          <m:e>
            <m:r>
              <w:rPr>
                <w:rFonts w:ascii="Cambria Math" w:eastAsia="等线" w:hAnsi="Cambria Math"/>
                <w:color w:val="000000"/>
                <w:sz w:val="20"/>
                <w:szCs w:val="20"/>
              </w:rPr>
              <m:t>T</m:t>
            </m:r>
          </m:e>
          <m:sub>
            <m:r>
              <w:rPr>
                <w:rFonts w:ascii="Cambria Math" w:eastAsia="等线" w:hAnsi="Cambria Math"/>
                <w:color w:val="000000"/>
                <w:sz w:val="20"/>
                <w:szCs w:val="20"/>
              </w:rPr>
              <m:t>proc,2</m:t>
            </m:r>
          </m:sub>
        </m:sSub>
      </m:oMath>
      <w:r>
        <w:rPr>
          <w:rFonts w:ascii="Times New Roman" w:eastAsia="等线" w:hAnsi="Times New Roman"/>
          <w:i/>
          <w:color w:val="000000"/>
          <w:sz w:val="20"/>
          <w:szCs w:val="20"/>
        </w:rPr>
        <w:t xml:space="preserve"> after the end of the reception of the last symbol of the PDCCH carrying the DCI scheduling the PUSCH, then the UE shall transmit the transport block. </w:t>
      </w:r>
    </w:p>
    <w:p w14:paraId="5106783E" w14:textId="77777777" w:rsidR="00AA4AC8" w:rsidRDefault="0082369C">
      <w:pPr>
        <w:pStyle w:val="ab"/>
        <w:suppressAutoHyphens/>
        <w:overflowPunct/>
        <w:autoSpaceDE/>
        <w:autoSpaceDN/>
        <w:snapToGrid w:val="0"/>
        <w:spacing w:beforeLines="50" w:before="120" w:afterLines="50"/>
        <w:ind w:left="576"/>
        <w:textAlignment w:val="auto"/>
        <w:rPr>
          <w:rFonts w:ascii="Times New Roman" w:eastAsiaTheme="minorEastAsia" w:hAnsi="Times New Roman"/>
          <w:szCs w:val="20"/>
        </w:rPr>
      </w:pPr>
      <w:r>
        <w:rPr>
          <w:rFonts w:ascii="Times New Roman" w:eastAsiaTheme="minorEastAsia" w:hAnsi="Times New Roman"/>
          <w:szCs w:val="20"/>
        </w:rPr>
        <w:t>Moreover, following conclusion has been achieved in RAN1#104e to further clarify the potential ambiguity on the scheduling part for legacy spec. And further discussion on other cases are still discussed parallel in this meeting.</w:t>
      </w:r>
    </w:p>
    <w:tbl>
      <w:tblPr>
        <w:tblStyle w:val="af4"/>
        <w:tblW w:w="0" w:type="auto"/>
        <w:jc w:val="center"/>
        <w:tblLook w:val="04A0" w:firstRow="1" w:lastRow="0" w:firstColumn="1" w:lastColumn="0" w:noHBand="0" w:noVBand="1"/>
      </w:tblPr>
      <w:tblGrid>
        <w:gridCol w:w="9631"/>
      </w:tblGrid>
      <w:tr w:rsidR="00AA4AC8" w14:paraId="16B13423" w14:textId="77777777">
        <w:trPr>
          <w:jc w:val="center"/>
        </w:trPr>
        <w:tc>
          <w:tcPr>
            <w:tcW w:w="9631" w:type="dxa"/>
          </w:tcPr>
          <w:p w14:paraId="003FD59E" w14:textId="77777777" w:rsidR="00AA4AC8" w:rsidRDefault="0082369C">
            <w:pPr>
              <w:spacing w:after="0"/>
              <w:rPr>
                <w:b/>
              </w:rPr>
            </w:pPr>
            <w:r>
              <w:rPr>
                <w:b/>
              </w:rPr>
              <w:t>Conclusion</w:t>
            </w:r>
          </w:p>
          <w:p w14:paraId="2BF2C1E0" w14:textId="77777777" w:rsidR="00AA4AC8" w:rsidRDefault="0082369C">
            <w:pPr>
              <w:spacing w:after="0"/>
            </w:pPr>
            <w:r>
              <w:t xml:space="preserve">For the sentence “The UE is not expected to be scheduled to transmit another PUSCH by DCI format 0_0 or 0_1 scrambled by C-RNTI or MCS-C-RNTI for a given HARQ process until after the end of the expected transmission of the last PUSCH for that HARQ process.” in TS 38.214 Clause 6.1, </w:t>
            </w:r>
          </w:p>
          <w:p w14:paraId="1B04800D" w14:textId="77777777" w:rsidR="00AA4AC8" w:rsidRDefault="0082369C">
            <w:pPr>
              <w:numPr>
                <w:ilvl w:val="0"/>
                <w:numId w:val="30"/>
              </w:numPr>
              <w:overflowPunct/>
              <w:autoSpaceDE/>
              <w:autoSpaceDN/>
              <w:adjustRightInd/>
              <w:spacing w:after="0"/>
              <w:textAlignment w:val="auto"/>
              <w:rPr>
                <w:lang w:eastAsia="ko-KR"/>
              </w:rPr>
            </w:pPr>
            <w:r>
              <w:rPr>
                <w:lang w:eastAsia="ko-KR"/>
              </w:rPr>
              <w:t>The common understanding is that the DCI is expected to be received after the end of the last PUSCH.</w:t>
            </w:r>
          </w:p>
        </w:tc>
      </w:tr>
    </w:tbl>
    <w:p w14:paraId="2729EC25" w14:textId="77777777" w:rsidR="00AA4AC8" w:rsidRDefault="0082369C">
      <w:pPr>
        <w:jc w:val="both"/>
        <w:rPr>
          <w:rFonts w:eastAsiaTheme="minorEastAsia"/>
        </w:rPr>
      </w:pPr>
      <w:r>
        <w:rPr>
          <w:rFonts w:eastAsiaTheme="minorEastAsia"/>
        </w:rPr>
        <w:t xml:space="preserve">Then, based on inputs for this meeting and discussion in previous meeting, </w:t>
      </w:r>
      <w:r>
        <w:rPr>
          <w:rFonts w:eastAsiaTheme="minorEastAsia" w:hint="eastAsia"/>
        </w:rPr>
        <w:t>it</w:t>
      </w:r>
      <w:r>
        <w:rPr>
          <w:rFonts w:eastAsiaTheme="minorEastAsia"/>
        </w:rPr>
        <w:t xml:space="preserve"> seems that the group is still not converging on this topic. From moderator’s perspective, proponents are encouraged to have the offline discusses with other companies and we can come back to this topic if there is progress.</w:t>
      </w:r>
    </w:p>
    <w:p w14:paraId="0E552195"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Theme="minorEastAsia" w:hAnsi="Times New Roman"/>
          <w:b/>
          <w:kern w:val="28"/>
          <w:sz w:val="28"/>
          <w:lang w:val="en-US"/>
        </w:rPr>
        <w:t>Issue-8</w:t>
      </w:r>
      <w:r>
        <w:rPr>
          <w:rFonts w:ascii="Times New Roman" w:eastAsia="MS Gothic" w:hAnsi="Times New Roman" w:hint="eastAsia"/>
          <w:b/>
          <w:kern w:val="28"/>
          <w:sz w:val="28"/>
          <w:lang w:val="en-US" w:eastAsia="ja-JP"/>
        </w:rPr>
        <w:t xml:space="preserve"> RRC parameters</w:t>
      </w:r>
      <w:r>
        <w:rPr>
          <w:rFonts w:ascii="Times New Roman" w:eastAsia="MS Gothic" w:hAnsi="Times New Roman"/>
          <w:b/>
          <w:kern w:val="28"/>
          <w:sz w:val="28"/>
          <w:lang w:val="en-US" w:eastAsia="ja-JP"/>
        </w:rPr>
        <w:t xml:space="preserve"> [Closed]</w:t>
      </w:r>
    </w:p>
    <w:p w14:paraId="72F6184F" w14:textId="77777777" w:rsidR="00AA4AC8" w:rsidRDefault="0082369C">
      <w:pPr>
        <w:snapToGrid w:val="0"/>
        <w:spacing w:after="0"/>
      </w:pPr>
      <w:r>
        <w:rPr>
          <w:rFonts w:eastAsiaTheme="minorEastAsia" w:hint="eastAsia"/>
        </w:rPr>
        <w:t>Regarding</w:t>
      </w:r>
      <w:r>
        <w:rPr>
          <w:rFonts w:eastAsiaTheme="minorEastAsia"/>
        </w:rPr>
        <w:t xml:space="preserve"> the RRC parameter, updates on the RRC para</w:t>
      </w:r>
      <w:r>
        <w:t xml:space="preserve">meters </w:t>
      </w:r>
      <w:r>
        <w:rPr>
          <w:rFonts w:hint="eastAsia"/>
        </w:rPr>
        <w:t>(</w:t>
      </w:r>
      <w:r>
        <w:t xml:space="preserve">e.g., nrofHARQ-ProcessesForPUSCH, Feedback-disablingperHARQ-Process-r17) </w:t>
      </w:r>
      <w:r>
        <w:rPr>
          <w:rFonts w:eastAsiaTheme="minorEastAsia"/>
        </w:rPr>
        <w:t>are proposed by companies [Huawei (R1-2110806), Ericsson (R1-2111415), ZTE (</w:t>
      </w:r>
      <w:r>
        <w:rPr>
          <w:rFonts w:hint="eastAsia"/>
        </w:rPr>
        <w:t>R</w:t>
      </w:r>
      <w:r>
        <w:t>1-2111660</w:t>
      </w:r>
      <w:r>
        <w:rPr>
          <w:rFonts w:eastAsiaTheme="minorEastAsia"/>
        </w:rPr>
        <w:t xml:space="preserve">)]. According to chair’s guidance, the corresponding discussion will be handled in </w:t>
      </w:r>
      <w:r>
        <w:rPr>
          <w:highlight w:val="cyan"/>
        </w:rPr>
        <w:t>[107-e-R17-RRC-NR-NTN].</w:t>
      </w:r>
    </w:p>
    <w:p w14:paraId="660F7DF7"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Theme="minorEastAsia" w:hAnsi="Times New Roman"/>
          <w:b/>
          <w:kern w:val="28"/>
          <w:sz w:val="28"/>
          <w:lang w:val="en-US"/>
        </w:rPr>
      </w:pPr>
      <w:r>
        <w:rPr>
          <w:rFonts w:ascii="Times New Roman" w:eastAsiaTheme="minorEastAsia" w:hAnsi="Times New Roman"/>
          <w:b/>
          <w:kern w:val="28"/>
          <w:sz w:val="28"/>
          <w:lang w:val="en-US"/>
        </w:rPr>
        <w:t>Proposals for discussion at GTW sessions</w:t>
      </w:r>
    </w:p>
    <w:p w14:paraId="7B6062E4" w14:textId="6AA5EEB4" w:rsidR="00AA4AC8" w:rsidRDefault="0082369C">
      <w:pPr>
        <w:pStyle w:val="2"/>
        <w:numPr>
          <w:ilvl w:val="1"/>
          <w:numId w:val="10"/>
        </w:numPr>
        <w:rPr>
          <w:rFonts w:ascii="Times New Roman" w:eastAsiaTheme="minorEastAsia" w:hAnsi="Times New Roman"/>
          <w:b/>
          <w:sz w:val="22"/>
        </w:rPr>
      </w:pPr>
      <w:r>
        <w:rPr>
          <w:rFonts w:ascii="Times New Roman" w:eastAsiaTheme="minorEastAsia" w:hAnsi="Times New Roman"/>
          <w:b/>
          <w:sz w:val="22"/>
        </w:rPr>
        <w:t>GTW on Nov 1</w:t>
      </w:r>
      <w:r w:rsidR="00574B74">
        <w:rPr>
          <w:rFonts w:ascii="Times New Roman" w:eastAsiaTheme="minorEastAsia" w:hAnsi="Times New Roman"/>
          <w:b/>
          <w:sz w:val="22"/>
        </w:rPr>
        <w:t>9</w:t>
      </w:r>
      <w:r>
        <w:rPr>
          <w:rFonts w:ascii="Times New Roman" w:eastAsiaTheme="minorEastAsia" w:hAnsi="Times New Roman"/>
          <w:b/>
          <w:sz w:val="22"/>
        </w:rPr>
        <w:t>, 2021</w:t>
      </w:r>
    </w:p>
    <w:p w14:paraId="5DD7BA61" w14:textId="77777777" w:rsidR="001C7CDE" w:rsidRPr="00574B74" w:rsidRDefault="001C7CDE" w:rsidP="00DE0518">
      <w:pPr>
        <w:snapToGrid w:val="0"/>
        <w:spacing w:beforeLines="50" w:before="120" w:afterLines="50" w:after="120"/>
        <w:rPr>
          <w:b/>
          <w:color w:val="000000" w:themeColor="text1"/>
          <w:highlight w:val="yellow"/>
          <w:lang w:val="en-US"/>
        </w:rPr>
      </w:pPr>
    </w:p>
    <w:p w14:paraId="350F2A61" w14:textId="77777777" w:rsidR="00574B74" w:rsidRPr="006F043E" w:rsidRDefault="00574B74" w:rsidP="00574B74">
      <w:pPr>
        <w:shd w:val="clear" w:color="auto" w:fill="FFFFFF"/>
        <w:tabs>
          <w:tab w:val="left" w:pos="3130"/>
        </w:tabs>
        <w:overflowPunct/>
        <w:autoSpaceDE/>
        <w:autoSpaceDN/>
        <w:adjustRightInd/>
        <w:spacing w:beforeLines="50" w:before="120" w:afterLines="50" w:after="120"/>
        <w:textAlignment w:val="auto"/>
        <w:rPr>
          <w:rFonts w:eastAsia="宋体"/>
          <w:color w:val="000000"/>
          <w:highlight w:val="cyan"/>
          <w:lang w:val="en-US"/>
        </w:rPr>
      </w:pPr>
      <w:r w:rsidRPr="006F043E">
        <w:rPr>
          <w:rFonts w:eastAsia="宋体"/>
          <w:b/>
          <w:bCs/>
          <w:color w:val="000000"/>
          <w:highlight w:val="cyan"/>
          <w:shd w:val="clear" w:color="auto" w:fill="FFFF00"/>
          <w:lang w:val="en-US"/>
        </w:rPr>
        <w:t>[Initial Proposal 1.3.1-Rev-1]:</w:t>
      </w:r>
    </w:p>
    <w:p w14:paraId="21D9A72D" w14:textId="77777777" w:rsidR="00574B74" w:rsidRPr="006F043E" w:rsidRDefault="00574B74" w:rsidP="00574B74">
      <w:pPr>
        <w:shd w:val="clear" w:color="auto" w:fill="FFFFFF"/>
        <w:overflowPunct/>
        <w:autoSpaceDE/>
        <w:autoSpaceDN/>
        <w:adjustRightInd/>
        <w:spacing w:after="0"/>
        <w:textAlignment w:val="auto"/>
        <w:rPr>
          <w:rFonts w:eastAsia="宋体"/>
          <w:color w:val="000000"/>
          <w:highlight w:val="cyan"/>
          <w:lang w:val="en-US"/>
        </w:rPr>
      </w:pPr>
      <w:r w:rsidRPr="006F043E">
        <w:rPr>
          <w:rFonts w:eastAsia="宋体"/>
          <w:color w:val="000000"/>
          <w:highlight w:val="cyan"/>
          <w:shd w:val="clear" w:color="auto" w:fill="FFFF00"/>
          <w:lang w:val="en-US"/>
        </w:rPr>
        <w:t>For Type-3 HARQ codebook in NTN, the UE should skip the codebook feedback for a feedback-disabled HARQ processes</w:t>
      </w:r>
    </w:p>
    <w:p w14:paraId="35EF3E51" w14:textId="77777777" w:rsidR="00574B74" w:rsidRPr="00F43693" w:rsidRDefault="00574B74" w:rsidP="00574B74">
      <w:pPr>
        <w:shd w:val="clear" w:color="auto" w:fill="FFFFFF"/>
        <w:overflowPunct/>
        <w:autoSpaceDE/>
        <w:autoSpaceDN/>
        <w:adjustRightInd/>
        <w:spacing w:after="0"/>
        <w:textAlignment w:val="auto"/>
        <w:rPr>
          <w:rFonts w:eastAsia="宋体"/>
          <w:color w:val="000000"/>
          <w:lang w:val="en-US"/>
        </w:rPr>
      </w:pPr>
      <w:r w:rsidRPr="006F043E">
        <w:rPr>
          <w:rFonts w:eastAsia="宋体"/>
          <w:color w:val="FF0000"/>
          <w:highlight w:val="cyan"/>
          <w:shd w:val="clear" w:color="auto" w:fill="FFFF00"/>
          <w:lang w:val="en-US"/>
        </w:rPr>
        <w:t>Note: The </w:t>
      </w:r>
      <w:r w:rsidRPr="006F043E">
        <w:rPr>
          <w:rFonts w:eastAsia="微软雅黑"/>
          <w:color w:val="FF0000"/>
          <w:highlight w:val="cyan"/>
          <w:shd w:val="clear" w:color="auto" w:fill="FFFF00"/>
          <w:lang w:val="en-US"/>
        </w:rPr>
        <w:t>Type-3 codebook size is reduced which does not include the bit position of disabled HARQ process</w:t>
      </w:r>
    </w:p>
    <w:p w14:paraId="3F8234CA" w14:textId="77777777" w:rsidR="00DE0518" w:rsidRPr="00574B74" w:rsidRDefault="00DE0518" w:rsidP="00DE0518">
      <w:pPr>
        <w:shd w:val="clear" w:color="auto" w:fill="FFFFFF"/>
        <w:tabs>
          <w:tab w:val="left" w:pos="3130"/>
        </w:tabs>
        <w:overflowPunct/>
        <w:autoSpaceDE/>
        <w:autoSpaceDN/>
        <w:adjustRightInd/>
        <w:spacing w:beforeLines="50" w:before="120" w:afterLines="50" w:after="120"/>
        <w:textAlignment w:val="auto"/>
        <w:rPr>
          <w:b/>
          <w:color w:val="000000" w:themeColor="text1"/>
          <w:highlight w:val="yellow"/>
          <w:lang w:val="en-US"/>
        </w:rPr>
      </w:pPr>
    </w:p>
    <w:p w14:paraId="01300DB7" w14:textId="77777777" w:rsidR="00DE0518" w:rsidRDefault="00DE0518" w:rsidP="00DE0518">
      <w:pPr>
        <w:shd w:val="clear" w:color="auto" w:fill="FFFFFF"/>
        <w:tabs>
          <w:tab w:val="left" w:pos="3130"/>
        </w:tabs>
        <w:overflowPunct/>
        <w:autoSpaceDE/>
        <w:autoSpaceDN/>
        <w:adjustRightInd/>
        <w:spacing w:beforeLines="50" w:before="120" w:afterLines="50" w:after="120"/>
        <w:textAlignment w:val="auto"/>
        <w:rPr>
          <w:color w:val="000000" w:themeColor="text1"/>
          <w:highlight w:val="yellow"/>
        </w:rPr>
      </w:pPr>
      <w:r>
        <w:rPr>
          <w:b/>
          <w:color w:val="000000" w:themeColor="text1"/>
          <w:highlight w:val="yellow"/>
        </w:rPr>
        <w:t>[Initial Proposal 1.2.2-1]</w:t>
      </w:r>
    </w:p>
    <w:p w14:paraId="2B8AE146" w14:textId="77777777" w:rsidR="00DE0518" w:rsidRDefault="00DE0518" w:rsidP="00DE0518">
      <w:pPr>
        <w:snapToGrid w:val="0"/>
        <w:spacing w:after="0"/>
        <w:rPr>
          <w:color w:val="000000" w:themeColor="text1"/>
          <w:highlight w:val="yellow"/>
        </w:rPr>
      </w:pPr>
      <w:r>
        <w:rPr>
          <w:color w:val="000000" w:themeColor="text1"/>
          <w:highlight w:val="yellow"/>
        </w:rPr>
        <w:t>For the DCI of PDSCH with feedback-disabled HARQ processes, one of following Options is supported:</w:t>
      </w:r>
    </w:p>
    <w:p w14:paraId="09F11253" w14:textId="77777777" w:rsidR="00DE0518" w:rsidRDefault="00DE0518" w:rsidP="00DE0518">
      <w:pPr>
        <w:pStyle w:val="afc"/>
        <w:numPr>
          <w:ilvl w:val="0"/>
          <w:numId w:val="14"/>
        </w:numPr>
        <w:snapToGrid w:val="0"/>
        <w:rPr>
          <w:rFonts w:ascii="Times New Roman" w:hAnsi="Times New Roman"/>
          <w:color w:val="000000" w:themeColor="text1"/>
          <w:sz w:val="20"/>
          <w:szCs w:val="20"/>
          <w:highlight w:val="yellow"/>
        </w:rPr>
      </w:pPr>
      <w:r>
        <w:rPr>
          <w:rFonts w:ascii="Times New Roman" w:hAnsi="Times New Roman"/>
          <w:color w:val="000000" w:themeColor="text1"/>
          <w:sz w:val="20"/>
          <w:szCs w:val="20"/>
          <w:highlight w:val="yellow"/>
        </w:rPr>
        <w:t xml:space="preserve">Option-1: the C-DAI and T-DAI are the same of the C-DAI and T-DAI of the most recent DCI of PDSCH with feedback-enabled processes, despite they are not incremented. </w:t>
      </w:r>
    </w:p>
    <w:p w14:paraId="0058BB9B" w14:textId="77777777" w:rsidR="00DE0518" w:rsidRDefault="00DE0518" w:rsidP="00DE0518">
      <w:pPr>
        <w:pStyle w:val="afc"/>
        <w:numPr>
          <w:ilvl w:val="1"/>
          <w:numId w:val="14"/>
        </w:numPr>
        <w:adjustRightInd w:val="0"/>
        <w:snapToGrid w:val="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For the codebook generation, the UE should use the DAI in DCI of feedback-disabled HARQ process to detect if a previous DCI of feedback-enabled HARQ processes has been missed. If so, the UE should chose the HARQ codebook size based on the DAI in DCI of the feedback-disabled HARQ process, and the feedback-enabled HARQ process detected to be missed should be NACK. </w:t>
      </w:r>
    </w:p>
    <w:p w14:paraId="6721E30A" w14:textId="77777777" w:rsidR="00DE0518" w:rsidRPr="00B01295" w:rsidRDefault="00DE0518" w:rsidP="00DE0518">
      <w:pPr>
        <w:pStyle w:val="afc"/>
        <w:numPr>
          <w:ilvl w:val="1"/>
          <w:numId w:val="14"/>
        </w:numPr>
        <w:adjustRightInd w:val="0"/>
        <w:snapToGrid w:val="0"/>
        <w:rPr>
          <w:rFonts w:ascii="Times New Roman" w:eastAsiaTheme="minorEastAsia" w:hAnsi="Times New Roman"/>
          <w:color w:val="FF0000"/>
          <w:sz w:val="20"/>
          <w:szCs w:val="20"/>
          <w:highlight w:val="yellow"/>
        </w:rPr>
      </w:pPr>
      <w:r w:rsidRPr="00B01295">
        <w:rPr>
          <w:rFonts w:ascii="Times New Roman" w:eastAsiaTheme="minorEastAsia" w:hAnsi="Times New Roman"/>
          <w:color w:val="FF0000"/>
          <w:sz w:val="20"/>
          <w:szCs w:val="20"/>
          <w:highlight w:val="yellow"/>
        </w:rPr>
        <w:t>if all DCIs of PDSCH are associated with feedback disabled HARQ process,</w:t>
      </w:r>
    </w:p>
    <w:p w14:paraId="1A0FE1E6" w14:textId="77777777" w:rsidR="00DE0518" w:rsidRPr="00B01295" w:rsidRDefault="00DE0518" w:rsidP="00DE0518">
      <w:pPr>
        <w:pStyle w:val="afc"/>
        <w:numPr>
          <w:ilvl w:val="2"/>
          <w:numId w:val="14"/>
        </w:numPr>
        <w:adjustRightInd w:val="0"/>
        <w:snapToGrid w:val="0"/>
        <w:rPr>
          <w:rFonts w:ascii="Times New Roman" w:eastAsiaTheme="minorEastAsia" w:hAnsi="Times New Roman"/>
          <w:color w:val="FF0000"/>
          <w:sz w:val="20"/>
          <w:szCs w:val="20"/>
          <w:highlight w:val="yellow"/>
        </w:rPr>
      </w:pPr>
      <w:r w:rsidRPr="00B01295">
        <w:rPr>
          <w:rFonts w:ascii="Times New Roman" w:eastAsiaTheme="minorEastAsia" w:hAnsi="Times New Roman"/>
          <w:color w:val="FF0000"/>
          <w:sz w:val="20"/>
          <w:szCs w:val="20"/>
          <w:highlight w:val="yellow"/>
        </w:rPr>
        <w:t xml:space="preserve">Alt-1: The value of C-DAI and T-DAI set to </w:t>
      </w:r>
      <m:oMath>
        <m:sSubSup>
          <m:sSubSupPr>
            <m:ctrlPr>
              <w:rPr>
                <w:rFonts w:ascii="Cambria Math" w:eastAsiaTheme="minorEastAsia" w:hAnsi="Cambria Math"/>
                <w:color w:val="FF0000"/>
                <w:sz w:val="20"/>
                <w:szCs w:val="20"/>
                <w:highlight w:val="yellow"/>
              </w:rPr>
            </m:ctrlPr>
          </m:sSubSupPr>
          <m:e>
            <m:r>
              <m:rPr>
                <m:sty m:val="p"/>
              </m:rPr>
              <w:rPr>
                <w:rFonts w:ascii="Cambria Math" w:eastAsiaTheme="minorEastAsia" w:hAnsi="Cambria Math"/>
                <w:color w:val="FF0000"/>
                <w:sz w:val="20"/>
                <w:szCs w:val="20"/>
                <w:highlight w:val="yellow"/>
              </w:rPr>
              <m:t>V</m:t>
            </m:r>
          </m:e>
          <m:sub>
            <m:r>
              <m:rPr>
                <m:nor/>
              </m:rPr>
              <w:rPr>
                <w:rFonts w:ascii="Times New Roman" w:eastAsiaTheme="minorEastAsia" w:hAnsi="Times New Roman"/>
                <w:color w:val="FF0000"/>
                <w:sz w:val="20"/>
                <w:szCs w:val="20"/>
                <w:highlight w:val="yellow"/>
              </w:rPr>
              <m:t>C-DAI</m:t>
            </m:r>
          </m:sub>
          <m:sup>
            <m:r>
              <m:rPr>
                <m:nor/>
              </m:rPr>
              <w:rPr>
                <w:rFonts w:ascii="Times New Roman" w:eastAsiaTheme="minorEastAsia" w:hAnsi="Times New Roman"/>
                <w:color w:val="FF0000"/>
                <w:sz w:val="20"/>
                <w:szCs w:val="20"/>
                <w:highlight w:val="yellow"/>
              </w:rPr>
              <m:t>DL</m:t>
            </m:r>
          </m:sup>
        </m:sSubSup>
        <m:r>
          <m:rPr>
            <m:sty m:val="p"/>
          </m:rPr>
          <w:rPr>
            <w:rFonts w:ascii="Cambria Math" w:eastAsiaTheme="minorEastAsia" w:hAnsi="Cambria Math"/>
            <w:color w:val="FF0000"/>
            <w:sz w:val="20"/>
            <w:szCs w:val="20"/>
            <w:highlight w:val="yellow"/>
          </w:rPr>
          <m:t>=4</m:t>
        </m:r>
      </m:oMath>
      <w:r w:rsidRPr="00B01295">
        <w:rPr>
          <w:rFonts w:ascii="Times New Roman" w:eastAsiaTheme="minorEastAsia" w:hAnsi="Times New Roman"/>
          <w:color w:val="FF0000"/>
          <w:sz w:val="20"/>
          <w:szCs w:val="20"/>
          <w:highlight w:val="yellow"/>
        </w:rPr>
        <w:t xml:space="preserve"> and </w:t>
      </w:r>
      <m:oMath>
        <m:sSubSup>
          <m:sSubSupPr>
            <m:ctrlPr>
              <w:rPr>
                <w:rFonts w:ascii="Cambria Math" w:eastAsiaTheme="minorEastAsia" w:hAnsi="Cambria Math"/>
                <w:color w:val="FF0000"/>
                <w:sz w:val="20"/>
                <w:szCs w:val="20"/>
                <w:highlight w:val="yellow"/>
              </w:rPr>
            </m:ctrlPr>
          </m:sSubSupPr>
          <m:e>
            <m:r>
              <m:rPr>
                <m:sty m:val="p"/>
              </m:rPr>
              <w:rPr>
                <w:rFonts w:ascii="Cambria Math" w:eastAsiaTheme="minorEastAsia" w:hAnsi="Cambria Math"/>
                <w:color w:val="FF0000"/>
                <w:sz w:val="20"/>
                <w:szCs w:val="20"/>
                <w:highlight w:val="yellow"/>
              </w:rPr>
              <m:t>V</m:t>
            </m:r>
          </m:e>
          <m:sub>
            <m:r>
              <m:rPr>
                <m:nor/>
              </m:rPr>
              <w:rPr>
                <w:rFonts w:ascii="Times New Roman" w:eastAsiaTheme="minorEastAsia" w:hAnsi="Times New Roman"/>
                <w:color w:val="FF0000"/>
                <w:sz w:val="20"/>
                <w:szCs w:val="20"/>
                <w:highlight w:val="yellow"/>
              </w:rPr>
              <m:t>T-DAI</m:t>
            </m:r>
          </m:sub>
          <m:sup>
            <m:r>
              <m:rPr>
                <m:nor/>
              </m:rPr>
              <w:rPr>
                <w:rFonts w:ascii="Times New Roman" w:eastAsiaTheme="minorEastAsia" w:hAnsi="Times New Roman"/>
                <w:color w:val="FF0000"/>
                <w:sz w:val="20"/>
                <w:szCs w:val="20"/>
                <w:highlight w:val="yellow"/>
              </w:rPr>
              <m:t>DL</m:t>
            </m:r>
          </m:sup>
        </m:sSubSup>
        <m:r>
          <m:rPr>
            <m:sty m:val="p"/>
          </m:rPr>
          <w:rPr>
            <w:rFonts w:ascii="Cambria Math" w:eastAsiaTheme="minorEastAsia" w:hAnsi="Cambria Math"/>
            <w:color w:val="FF0000"/>
            <w:sz w:val="20"/>
            <w:szCs w:val="20"/>
            <w:highlight w:val="yellow"/>
          </w:rPr>
          <m:t>=4</m:t>
        </m:r>
      </m:oMath>
    </w:p>
    <w:p w14:paraId="6E59E3E8" w14:textId="77777777" w:rsidR="00DE0518" w:rsidRPr="00A2006F" w:rsidRDefault="00DE0518" w:rsidP="00DE0518">
      <w:pPr>
        <w:pStyle w:val="afc"/>
        <w:numPr>
          <w:ilvl w:val="0"/>
          <w:numId w:val="14"/>
        </w:numPr>
        <w:snapToGrid w:val="0"/>
        <w:rPr>
          <w:rFonts w:ascii="Times New Roman" w:hAnsi="Times New Roman"/>
          <w:strike/>
          <w:color w:val="FF0000"/>
          <w:sz w:val="20"/>
          <w:szCs w:val="20"/>
          <w:highlight w:val="yellow"/>
        </w:rPr>
      </w:pPr>
      <w:r w:rsidRPr="00A2006F">
        <w:rPr>
          <w:rFonts w:ascii="Times New Roman" w:hAnsi="Times New Roman"/>
          <w:strike/>
          <w:color w:val="FF0000"/>
          <w:sz w:val="20"/>
          <w:szCs w:val="20"/>
          <w:highlight w:val="yellow"/>
        </w:rPr>
        <w:t xml:space="preserve">Option-2: </w:t>
      </w:r>
      <w:r w:rsidRPr="00A2006F">
        <w:rPr>
          <w:rFonts w:ascii="Times New Roman" w:eastAsiaTheme="minorEastAsia" w:hAnsi="Times New Roman"/>
          <w:strike/>
          <w:color w:val="FF0000"/>
          <w:sz w:val="20"/>
          <w:szCs w:val="20"/>
          <w:highlight w:val="yellow"/>
        </w:rPr>
        <w:t>The C-DAI and T-DAI are ignored by the UE regardless of the value for Type 2 codebook generation.</w:t>
      </w:r>
    </w:p>
    <w:p w14:paraId="44065AAF" w14:textId="30C54BC2" w:rsidR="00315856" w:rsidRPr="00315856" w:rsidRDefault="00315856" w:rsidP="00315856">
      <w:pPr>
        <w:shd w:val="clear" w:color="auto" w:fill="FFFFFF"/>
        <w:overflowPunct/>
        <w:autoSpaceDE/>
        <w:autoSpaceDN/>
        <w:adjustRightInd/>
        <w:spacing w:after="0" w:line="315" w:lineRule="atLeast"/>
        <w:textAlignment w:val="auto"/>
        <w:rPr>
          <w:rFonts w:eastAsia="宋体"/>
          <w:color w:val="000000"/>
          <w:lang w:val="en-US"/>
        </w:rPr>
      </w:pPr>
      <w:bookmarkStart w:id="11" w:name="_GoBack"/>
      <w:bookmarkEnd w:id="11"/>
      <w:r w:rsidRPr="00315856">
        <w:rPr>
          <w:rFonts w:eastAsia="宋体"/>
          <w:b/>
          <w:bCs/>
          <w:color w:val="000000"/>
          <w:shd w:val="clear" w:color="auto" w:fill="FFFF00"/>
        </w:rPr>
        <w:lastRenderedPageBreak/>
        <w:t>[Updated Initial Proposal 2.2-</w:t>
      </w:r>
      <w:r w:rsidRPr="00315856">
        <w:rPr>
          <w:rFonts w:eastAsia="宋体"/>
          <w:b/>
          <w:bCs/>
          <w:color w:val="000000"/>
          <w:shd w:val="clear" w:color="auto" w:fill="FF0000"/>
        </w:rPr>
        <w:t>V4</w:t>
      </w:r>
      <w:r w:rsidRPr="00315856">
        <w:rPr>
          <w:rFonts w:eastAsia="宋体"/>
          <w:b/>
          <w:bCs/>
          <w:color w:val="000000"/>
          <w:shd w:val="clear" w:color="auto" w:fill="FFFF00"/>
        </w:rPr>
        <w:t>] </w:t>
      </w:r>
      <w:r w:rsidRPr="00315856">
        <w:rPr>
          <w:rFonts w:eastAsia="宋体"/>
          <w:b/>
          <w:bCs/>
          <w:color w:val="0433FF"/>
          <w:shd w:val="clear" w:color="auto" w:fill="FFFF00"/>
        </w:rPr>
        <w:t>(</w:t>
      </w:r>
      <w:r w:rsidR="0088151D" w:rsidRPr="00315856">
        <w:rPr>
          <w:rFonts w:eastAsia="宋体"/>
          <w:b/>
          <w:bCs/>
          <w:color w:val="0433FF"/>
          <w:shd w:val="clear" w:color="auto" w:fill="FFFF00"/>
        </w:rPr>
        <w:t>Modified</w:t>
      </w:r>
      <w:r w:rsidR="008919C4">
        <w:rPr>
          <w:rFonts w:eastAsia="宋体" w:hint="eastAsia"/>
          <w:b/>
          <w:bCs/>
          <w:color w:val="0433FF"/>
          <w:shd w:val="clear" w:color="auto" w:fill="FFFF00"/>
        </w:rPr>
        <w:t>-</w:t>
      </w:r>
      <w:r w:rsidR="008919C4">
        <w:rPr>
          <w:rFonts w:eastAsia="宋体"/>
          <w:b/>
          <w:bCs/>
          <w:color w:val="0433FF"/>
          <w:shd w:val="clear" w:color="auto" w:fill="FFFF00"/>
        </w:rPr>
        <w:t>1</w:t>
      </w:r>
      <w:r w:rsidRPr="00315856">
        <w:rPr>
          <w:rFonts w:eastAsia="宋体"/>
          <w:b/>
          <w:bCs/>
          <w:color w:val="0433FF"/>
          <w:shd w:val="clear" w:color="auto" w:fill="FFFF00"/>
        </w:rPr>
        <w:t>)</w:t>
      </w:r>
    </w:p>
    <w:p w14:paraId="091BEBDD" w14:textId="77777777" w:rsidR="00315856" w:rsidRPr="00E87A25" w:rsidRDefault="00315856" w:rsidP="00315856">
      <w:pPr>
        <w:shd w:val="clear" w:color="auto" w:fill="FFFFFF"/>
        <w:overflowPunct/>
        <w:autoSpaceDE/>
        <w:autoSpaceDN/>
        <w:adjustRightInd/>
        <w:spacing w:after="0" w:line="315" w:lineRule="atLeast"/>
        <w:textAlignment w:val="auto"/>
        <w:rPr>
          <w:rFonts w:eastAsia="宋体"/>
          <w:color w:val="000000" w:themeColor="text1"/>
          <w:lang w:val="en-US"/>
        </w:rPr>
      </w:pPr>
      <w:r w:rsidRPr="00315856">
        <w:rPr>
          <w:rFonts w:eastAsia="宋体"/>
          <w:color w:val="000000" w:themeColor="text1"/>
          <w:shd w:val="clear" w:color="auto" w:fill="FFFF00"/>
        </w:rPr>
        <w:t>HARQ feedback for SPS activation may be </w:t>
      </w:r>
      <w:r w:rsidRPr="00E87A25">
        <w:rPr>
          <w:rFonts w:eastAsia="宋体"/>
          <w:bCs/>
          <w:color w:val="000000" w:themeColor="text1"/>
          <w:shd w:val="clear" w:color="auto" w:fill="FFFF00"/>
        </w:rPr>
        <w:t>additionally</w:t>
      </w:r>
      <w:r w:rsidRPr="00315856">
        <w:rPr>
          <w:rFonts w:eastAsia="宋体"/>
          <w:color w:val="000000" w:themeColor="text1"/>
          <w:shd w:val="clear" w:color="auto" w:fill="FFFF00"/>
        </w:rPr>
        <w:t> enabled by the network.</w:t>
      </w:r>
    </w:p>
    <w:p w14:paraId="3144671A" w14:textId="77777777" w:rsidR="00315856" w:rsidRPr="00E87A25" w:rsidRDefault="00315856" w:rsidP="00315856">
      <w:pPr>
        <w:pStyle w:val="afc"/>
        <w:numPr>
          <w:ilvl w:val="0"/>
          <w:numId w:val="14"/>
        </w:numPr>
        <w:snapToGrid w:val="0"/>
        <w:rPr>
          <w:rFonts w:ascii="Times New Roman" w:eastAsia="宋体" w:hAnsi="Times New Roman"/>
          <w:color w:val="000000" w:themeColor="text1"/>
          <w:sz w:val="20"/>
          <w:szCs w:val="20"/>
          <w:shd w:val="clear" w:color="auto" w:fill="FFFF00"/>
          <w:lang w:val="en-US"/>
        </w:rPr>
      </w:pPr>
      <w:r w:rsidRPr="00E87A25">
        <w:rPr>
          <w:rFonts w:ascii="Times New Roman" w:eastAsia="宋体" w:hAnsi="Times New Roman"/>
          <w:color w:val="000000" w:themeColor="text1"/>
          <w:sz w:val="20"/>
          <w:szCs w:val="20"/>
          <w:shd w:val="clear" w:color="auto" w:fill="FFFF00"/>
          <w:lang w:val="en-US"/>
        </w:rPr>
        <w:t>If enabled, UE reports ACK/NACK for the first SPS PDSCH after activation, regardless of if HARQ feedback is enabled or disabled </w:t>
      </w:r>
      <w:r w:rsidRPr="00A24FB0">
        <w:rPr>
          <w:rFonts w:ascii="Times New Roman" w:eastAsia="宋体" w:hAnsi="Times New Roman"/>
          <w:color w:val="FF0000"/>
          <w:sz w:val="20"/>
          <w:szCs w:val="20"/>
          <w:shd w:val="clear" w:color="auto" w:fill="FFFF00"/>
          <w:lang w:val="en-US"/>
        </w:rPr>
        <w:t>corresponding to the first SPS PDSCH after activation</w:t>
      </w:r>
    </w:p>
    <w:p w14:paraId="2EF8D41A" w14:textId="77777777" w:rsidR="00315856" w:rsidRPr="008F59E9" w:rsidRDefault="00315856" w:rsidP="00315856">
      <w:pPr>
        <w:pStyle w:val="afc"/>
        <w:numPr>
          <w:ilvl w:val="1"/>
          <w:numId w:val="14"/>
        </w:numPr>
        <w:snapToGrid w:val="0"/>
        <w:rPr>
          <w:rFonts w:ascii="Times New Roman" w:eastAsia="宋体" w:hAnsi="Times New Roman"/>
          <w:strike/>
          <w:color w:val="FF0000"/>
          <w:sz w:val="20"/>
          <w:szCs w:val="20"/>
          <w:shd w:val="clear" w:color="auto" w:fill="FFFF00"/>
          <w:lang w:val="en-US"/>
        </w:rPr>
      </w:pPr>
      <w:r w:rsidRPr="008F59E9">
        <w:rPr>
          <w:rFonts w:ascii="Times New Roman" w:eastAsia="宋体" w:hAnsi="Times New Roman"/>
          <w:strike/>
          <w:color w:val="FF0000"/>
          <w:sz w:val="20"/>
          <w:szCs w:val="20"/>
          <w:shd w:val="clear" w:color="auto" w:fill="FFFF00"/>
        </w:rPr>
        <w:t>For Type-1 codebook, ACK is generated as a HARQ-ACK bit corresponding to the first SPS PDSCH when the UE decodes the SPS activation successfully, regardless of decoding results of the first SPS PDSCH.</w:t>
      </w:r>
    </w:p>
    <w:p w14:paraId="390CC0D8" w14:textId="4B5698AD" w:rsidR="00315856" w:rsidRPr="00871D38" w:rsidRDefault="00315856" w:rsidP="00315856">
      <w:pPr>
        <w:pStyle w:val="afc"/>
        <w:numPr>
          <w:ilvl w:val="0"/>
          <w:numId w:val="14"/>
        </w:numPr>
        <w:snapToGrid w:val="0"/>
        <w:rPr>
          <w:rFonts w:ascii="Times New Roman" w:eastAsia="宋体" w:hAnsi="Times New Roman"/>
          <w:color w:val="000000" w:themeColor="text1"/>
          <w:sz w:val="20"/>
          <w:szCs w:val="20"/>
          <w:shd w:val="clear" w:color="auto" w:fill="FFFF00"/>
          <w:lang w:val="en-US"/>
        </w:rPr>
      </w:pPr>
      <w:r w:rsidRPr="00E87A25">
        <w:rPr>
          <w:rFonts w:ascii="Times New Roman" w:eastAsia="宋体" w:hAnsi="Times New Roman"/>
          <w:color w:val="000000" w:themeColor="text1"/>
          <w:sz w:val="20"/>
          <w:szCs w:val="20"/>
          <w:shd w:val="clear" w:color="auto" w:fill="FFFF00"/>
        </w:rPr>
        <w:t>Otherwise, UE follows configuration of HARQ feedback enabled/disabled corresponding to the first SPS PDSCH after activation</w:t>
      </w:r>
    </w:p>
    <w:p w14:paraId="5E5C187B" w14:textId="77777777" w:rsidR="00F17888" w:rsidRDefault="00F17888" w:rsidP="001D736E">
      <w:pPr>
        <w:pStyle w:val="afc"/>
        <w:snapToGrid w:val="0"/>
        <w:ind w:left="780"/>
        <w:rPr>
          <w:rFonts w:ascii="Times New Roman" w:eastAsia="宋体" w:hAnsi="Times New Roman"/>
          <w:color w:val="000000" w:themeColor="text1"/>
          <w:sz w:val="20"/>
          <w:szCs w:val="20"/>
          <w:shd w:val="clear" w:color="auto" w:fill="FFFF00"/>
          <w:lang w:val="en-US"/>
        </w:rPr>
      </w:pPr>
    </w:p>
    <w:p w14:paraId="4D58F9E8" w14:textId="77777777" w:rsidR="001D736E" w:rsidRDefault="001D736E" w:rsidP="001D736E">
      <w:pPr>
        <w:pStyle w:val="afc"/>
        <w:snapToGrid w:val="0"/>
        <w:ind w:left="780"/>
        <w:rPr>
          <w:rFonts w:ascii="Times New Roman" w:eastAsia="宋体" w:hAnsi="Times New Roman"/>
          <w:color w:val="FF0000"/>
          <w:sz w:val="20"/>
          <w:szCs w:val="20"/>
          <w:shd w:val="clear" w:color="auto" w:fill="FFFF00"/>
          <w:lang w:val="en-US"/>
        </w:rPr>
      </w:pPr>
      <w:r>
        <w:rPr>
          <w:rFonts w:ascii="Times New Roman" w:eastAsia="宋体" w:hAnsi="Times New Roman" w:hint="eastAsia"/>
          <w:color w:val="000000" w:themeColor="text1"/>
          <w:sz w:val="20"/>
          <w:szCs w:val="20"/>
          <w:shd w:val="clear" w:color="auto" w:fill="FFFF00"/>
          <w:lang w:val="en-US"/>
        </w:rPr>
        <w:t>[</w:t>
      </w:r>
      <w:r w:rsidR="004067CD" w:rsidRPr="00D06EF7">
        <w:rPr>
          <w:rFonts w:ascii="Times New Roman" w:eastAsia="宋体" w:hAnsi="Times New Roman"/>
          <w:color w:val="000000" w:themeColor="text1"/>
          <w:sz w:val="20"/>
          <w:szCs w:val="20"/>
          <w:shd w:val="clear" w:color="auto" w:fill="FFFF00"/>
          <w:lang w:val="en-US"/>
        </w:rPr>
        <w:t xml:space="preserve">Alt-1: </w:t>
      </w:r>
      <w:r w:rsidR="004067CD" w:rsidRPr="00C61348">
        <w:rPr>
          <w:rFonts w:ascii="Times New Roman" w:eastAsia="宋体" w:hAnsi="Times New Roman"/>
          <w:color w:val="000000" w:themeColor="text1"/>
          <w:sz w:val="20"/>
          <w:szCs w:val="20"/>
          <w:shd w:val="clear" w:color="auto" w:fill="FFFF00"/>
          <w:lang w:val="en-US"/>
        </w:rPr>
        <w:t>UE follows</w:t>
      </w:r>
      <w:r w:rsidR="004067CD" w:rsidRPr="00C61348">
        <w:rPr>
          <w:rFonts w:ascii="Times New Roman" w:eastAsia="宋体" w:hAnsi="Times New Roman"/>
          <w:color w:val="FF0000"/>
          <w:sz w:val="20"/>
          <w:szCs w:val="20"/>
          <w:shd w:val="clear" w:color="auto" w:fill="FFFF00"/>
          <w:lang w:val="en-US"/>
        </w:rPr>
        <w:t xml:space="preserve"> the per-process configuration</w:t>
      </w:r>
      <w:r w:rsidR="004067CD" w:rsidRPr="00C61348">
        <w:rPr>
          <w:rFonts w:ascii="Times New Roman" w:eastAsia="宋体" w:hAnsi="Times New Roman"/>
          <w:color w:val="000000" w:themeColor="text1"/>
          <w:sz w:val="20"/>
          <w:szCs w:val="20"/>
          <w:shd w:val="clear" w:color="auto" w:fill="FFFF00"/>
          <w:lang w:val="en-US"/>
        </w:rPr>
        <w:t xml:space="preserve"> of HARQ feedback enabled/disabled </w:t>
      </w:r>
      <w:r w:rsidR="004067CD" w:rsidRPr="00C61348">
        <w:rPr>
          <w:rFonts w:ascii="Times New Roman" w:eastAsia="宋体" w:hAnsi="Times New Roman"/>
          <w:color w:val="FF0000"/>
          <w:sz w:val="20"/>
          <w:szCs w:val="20"/>
          <w:shd w:val="clear" w:color="auto" w:fill="FFFF00"/>
          <w:lang w:val="en-US"/>
        </w:rPr>
        <w:t>for the associated HARQ process</w:t>
      </w:r>
    </w:p>
    <w:p w14:paraId="75E9D85F" w14:textId="3FF80D1F" w:rsidR="004067CD" w:rsidRPr="001D736E" w:rsidRDefault="004067CD" w:rsidP="001D736E">
      <w:pPr>
        <w:pStyle w:val="afc"/>
        <w:snapToGrid w:val="0"/>
        <w:ind w:left="780"/>
        <w:rPr>
          <w:rFonts w:ascii="Times New Roman" w:eastAsia="宋体" w:hAnsi="Times New Roman"/>
          <w:color w:val="000000" w:themeColor="text1"/>
          <w:sz w:val="20"/>
          <w:szCs w:val="20"/>
          <w:shd w:val="clear" w:color="auto" w:fill="FFFF00"/>
          <w:lang w:val="en-US"/>
        </w:rPr>
      </w:pPr>
      <w:r w:rsidRPr="001D736E">
        <w:rPr>
          <w:rFonts w:ascii="Times New Roman" w:eastAsia="宋体" w:hAnsi="Times New Roman"/>
          <w:color w:val="000000" w:themeColor="text1"/>
          <w:sz w:val="20"/>
          <w:szCs w:val="20"/>
          <w:shd w:val="clear" w:color="auto" w:fill="FFFF00"/>
          <w:lang w:val="en-US"/>
        </w:rPr>
        <w:t>Alt-2: UE follows the feedback-enabled/disabled configuration of the SPS PDSCH</w:t>
      </w:r>
      <w:r w:rsidR="001D736E">
        <w:rPr>
          <w:rFonts w:ascii="Times New Roman" w:eastAsia="宋体" w:hAnsi="Times New Roman"/>
          <w:color w:val="000000" w:themeColor="text1"/>
          <w:sz w:val="20"/>
          <w:szCs w:val="20"/>
          <w:shd w:val="clear" w:color="auto" w:fill="FFFF00"/>
          <w:lang w:val="en-US"/>
        </w:rPr>
        <w:t>]</w:t>
      </w:r>
    </w:p>
    <w:p w14:paraId="2EC25A51" w14:textId="77777777" w:rsidR="00AA4AC8" w:rsidRDefault="0082369C">
      <w:pPr>
        <w:pStyle w:val="1"/>
        <w:keepLines w:val="0"/>
        <w:numPr>
          <w:ilvl w:val="0"/>
          <w:numId w:val="10"/>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Conclusion</w:t>
      </w:r>
    </w:p>
    <w:p w14:paraId="710FA5D2" w14:textId="77777777" w:rsidR="00AA4AC8" w:rsidRDefault="0082369C">
      <w:pPr>
        <w:rPr>
          <w:rFonts w:eastAsiaTheme="minorEastAsia"/>
        </w:rPr>
      </w:pPr>
      <w:r>
        <w:rPr>
          <w:rFonts w:eastAsiaTheme="minorEastAsia" w:hint="eastAsia"/>
        </w:rPr>
        <w:t>I</w:t>
      </w:r>
      <w:r>
        <w:rPr>
          <w:rFonts w:eastAsiaTheme="minorEastAsia"/>
        </w:rPr>
        <w:t>n this summary, following proposals are made according to the contribution submitted in AI 8.4.3:</w:t>
      </w:r>
    </w:p>
    <w:p w14:paraId="005965AD" w14:textId="77777777" w:rsidR="00AA4AC8" w:rsidRDefault="0082369C">
      <w:pPr>
        <w:pStyle w:val="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744"/>
      </w:tblGrid>
      <w:tr w:rsidR="00AA4AC8" w14:paraId="64FCCF17" w14:textId="77777777">
        <w:trPr>
          <w:trHeight w:val="398"/>
          <w:jc w:val="center"/>
        </w:trPr>
        <w:tc>
          <w:tcPr>
            <w:tcW w:w="1883" w:type="dxa"/>
            <w:shd w:val="clear" w:color="auto" w:fill="auto"/>
            <w:vAlign w:val="center"/>
          </w:tcPr>
          <w:p w14:paraId="009E3F0C" w14:textId="77777777" w:rsidR="00AA4AC8" w:rsidRDefault="0082369C">
            <w:pPr>
              <w:snapToGrid w:val="0"/>
              <w:spacing w:after="0"/>
              <w:jc w:val="center"/>
              <w:rPr>
                <w:sz w:val="18"/>
              </w:rPr>
            </w:pPr>
            <w:r>
              <w:rPr>
                <w:sz w:val="18"/>
              </w:rPr>
              <w:t>Contribution</w:t>
            </w:r>
          </w:p>
        </w:tc>
        <w:tc>
          <w:tcPr>
            <w:tcW w:w="8744" w:type="dxa"/>
            <w:vAlign w:val="center"/>
          </w:tcPr>
          <w:p w14:paraId="51E54E61" w14:textId="77777777" w:rsidR="00AA4AC8" w:rsidRDefault="0082369C">
            <w:pPr>
              <w:snapToGrid w:val="0"/>
              <w:spacing w:after="0"/>
              <w:jc w:val="center"/>
              <w:rPr>
                <w:sz w:val="18"/>
              </w:rPr>
            </w:pPr>
            <w:r>
              <w:rPr>
                <w:sz w:val="18"/>
              </w:rPr>
              <w:t>Observation/Proposals</w:t>
            </w:r>
          </w:p>
        </w:tc>
      </w:tr>
      <w:tr w:rsidR="00AA4AC8" w14:paraId="2706DDD5" w14:textId="77777777">
        <w:trPr>
          <w:trHeight w:val="398"/>
          <w:jc w:val="center"/>
        </w:trPr>
        <w:tc>
          <w:tcPr>
            <w:tcW w:w="1883" w:type="dxa"/>
            <w:shd w:val="clear" w:color="auto" w:fill="auto"/>
            <w:vAlign w:val="center"/>
          </w:tcPr>
          <w:p w14:paraId="51A1A170" w14:textId="77777777" w:rsidR="00AA4AC8" w:rsidRDefault="0082369C">
            <w:pPr>
              <w:snapToGrid w:val="0"/>
              <w:spacing w:after="0"/>
              <w:jc w:val="center"/>
              <w:rPr>
                <w:sz w:val="18"/>
              </w:rPr>
            </w:pPr>
            <w:r>
              <w:rPr>
                <w:sz w:val="18"/>
              </w:rPr>
              <w:t>R1-2110806</w:t>
            </w:r>
          </w:p>
          <w:p w14:paraId="40BB17BC" w14:textId="77777777" w:rsidR="00AA4AC8" w:rsidRDefault="0082369C">
            <w:pPr>
              <w:snapToGrid w:val="0"/>
              <w:spacing w:after="0"/>
              <w:jc w:val="center"/>
              <w:rPr>
                <w:sz w:val="18"/>
              </w:rPr>
            </w:pPr>
            <w:r>
              <w:rPr>
                <w:sz w:val="18"/>
              </w:rPr>
              <w:t>Huawei</w:t>
            </w:r>
          </w:p>
        </w:tc>
        <w:tc>
          <w:tcPr>
            <w:tcW w:w="8744" w:type="dxa"/>
            <w:vAlign w:val="center"/>
          </w:tcPr>
          <w:p w14:paraId="648A5D2A" w14:textId="77777777" w:rsidR="00AA4AC8" w:rsidRDefault="0082369C">
            <w:pPr>
              <w:snapToGrid w:val="0"/>
              <w:spacing w:after="0"/>
              <w:jc w:val="both"/>
              <w:rPr>
                <w:sz w:val="18"/>
              </w:rPr>
            </w:pPr>
            <w:r>
              <w:rPr>
                <w:sz w:val="18"/>
              </w:rPr>
              <w:t>Observation 1: For type-1 HARQ-ACK codebook, the pre-known NACKs at the position of feedback-disabled HARQ process can be beneficial for channel decoding at the gNB.</w:t>
            </w:r>
          </w:p>
          <w:p w14:paraId="2B24F43E" w14:textId="77777777" w:rsidR="00AA4AC8" w:rsidRDefault="0082369C">
            <w:pPr>
              <w:snapToGrid w:val="0"/>
              <w:spacing w:after="0"/>
              <w:jc w:val="both"/>
              <w:rPr>
                <w:sz w:val="18"/>
              </w:rPr>
            </w:pPr>
            <w:r>
              <w:rPr>
                <w:sz w:val="18"/>
              </w:rPr>
              <w:t xml:space="preserve">Observation 2: The case where all the scheduled HARQ processes are disabled is a corner case as there is a large possibility that the HARQ codebook contains the feedback for TAC. </w:t>
            </w:r>
          </w:p>
          <w:p w14:paraId="43BABC26" w14:textId="77777777" w:rsidR="00AA4AC8" w:rsidRDefault="0082369C">
            <w:pPr>
              <w:snapToGrid w:val="0"/>
              <w:spacing w:after="0"/>
              <w:jc w:val="both"/>
              <w:rPr>
                <w:rFonts w:eastAsiaTheme="minorEastAsia"/>
                <w:kern w:val="2"/>
                <w:sz w:val="18"/>
              </w:rPr>
            </w:pPr>
            <w:r>
              <w:rPr>
                <w:rFonts w:eastAsiaTheme="minorEastAsia"/>
                <w:kern w:val="2"/>
                <w:sz w:val="18"/>
              </w:rPr>
              <w:t xml:space="preserve">Observation 3: As long as one feedback-enabled HARQ process is scheduled, the gNB has to reserve feedback resources anyway as UE miss-detection is unpredictable. </w:t>
            </w:r>
          </w:p>
          <w:p w14:paraId="6DD0DE89" w14:textId="77777777" w:rsidR="00AA4AC8" w:rsidRDefault="0082369C">
            <w:pPr>
              <w:snapToGrid w:val="0"/>
              <w:spacing w:after="0"/>
              <w:jc w:val="both"/>
              <w:rPr>
                <w:rFonts w:eastAsiaTheme="minorEastAsia"/>
                <w:kern w:val="2"/>
                <w:sz w:val="18"/>
              </w:rPr>
            </w:pPr>
            <w:r>
              <w:rPr>
                <w:rFonts w:eastAsiaTheme="minorEastAsia"/>
                <w:kern w:val="2"/>
                <w:sz w:val="18"/>
              </w:rPr>
              <w:t xml:space="preserve">Observation 4: With the disabling mechanism, even if UE drop the feedback due to the mis-detection of DCI, gNB still reserve all feedback resources based on </w:t>
            </w:r>
            <w:r>
              <w:rPr>
                <w:sz w:val="18"/>
              </w:rPr>
              <w:t xml:space="preserve">the </w:t>
            </w:r>
            <m:oMath>
              <m:sSub>
                <m:sSubPr>
                  <m:ctrlPr>
                    <w:rPr>
                      <w:rFonts w:ascii="Cambria Math" w:hAnsi="Cambria Math"/>
                      <w:sz w:val="18"/>
                    </w:rPr>
                  </m:ctrlPr>
                </m:sSubPr>
                <m:e>
                  <m:r>
                    <m:rPr>
                      <m:sty m:val="p"/>
                    </m:rPr>
                    <w:rPr>
                      <w:rFonts w:ascii="Cambria Math" w:hAnsi="Cambria Math"/>
                      <w:sz w:val="18"/>
                    </w:rPr>
                    <m:t>M</m:t>
                  </m:r>
                </m:e>
                <m:sub>
                  <m:r>
                    <m:rPr>
                      <m:sty m:val="p"/>
                    </m:rPr>
                    <w:rPr>
                      <w:rFonts w:ascii="Cambria Math" w:hAnsi="Cambria Math"/>
                      <w:sz w:val="18"/>
                    </w:rPr>
                    <m:t>A,C</m:t>
                  </m:r>
                </m:sub>
              </m:sSub>
            </m:oMath>
            <w:r>
              <w:rPr>
                <w:sz w:val="18"/>
              </w:rPr>
              <w:t xml:space="preserve"> occasions</w:t>
            </w:r>
            <w:r>
              <w:rPr>
                <w:rFonts w:eastAsiaTheme="minorEastAsia"/>
                <w:kern w:val="2"/>
                <w:sz w:val="18"/>
              </w:rPr>
              <w:t>, a large number of resources would be wasted.</w:t>
            </w:r>
          </w:p>
          <w:p w14:paraId="00F61AB8" w14:textId="77777777" w:rsidR="00AA4AC8" w:rsidRDefault="0082369C">
            <w:pPr>
              <w:snapToGrid w:val="0"/>
              <w:spacing w:after="0"/>
              <w:jc w:val="both"/>
              <w:rPr>
                <w:sz w:val="18"/>
              </w:rPr>
            </w:pPr>
            <w:r>
              <w:rPr>
                <w:sz w:val="18"/>
              </w:rPr>
              <w:t>Observation 5: When HARQ-ACK feedback multiplexing with other UCIs in PUCCH or PUSCH, skipping feedback would lead to misalign between UE and gNB.</w:t>
            </w:r>
          </w:p>
          <w:p w14:paraId="7C6BBC83" w14:textId="77777777" w:rsidR="00AA4AC8" w:rsidRDefault="0082369C">
            <w:pPr>
              <w:snapToGrid w:val="0"/>
              <w:spacing w:after="0"/>
              <w:jc w:val="both"/>
              <w:rPr>
                <w:sz w:val="18"/>
              </w:rPr>
            </w:pPr>
            <w:r>
              <w:rPr>
                <w:sz w:val="18"/>
              </w:rPr>
              <w:t>Observation 6: There is no need to optimize the corner case that only DCIs carrying feedback-disabled HARQ processes are decoded by UE separately.</w:t>
            </w:r>
          </w:p>
          <w:p w14:paraId="4C2BEC38" w14:textId="77777777" w:rsidR="00AA4AC8" w:rsidRDefault="0082369C">
            <w:pPr>
              <w:snapToGrid w:val="0"/>
              <w:spacing w:after="0"/>
              <w:jc w:val="both"/>
              <w:rPr>
                <w:sz w:val="18"/>
              </w:rPr>
            </w:pPr>
            <w:r>
              <w:rPr>
                <w:sz w:val="18"/>
              </w:rPr>
              <w:t>Observation 7: For Type-2 HARQ-ACK codebook, keeping the true values of C-DAI and T-DAI as the count of feedback-enabled HARQ processes can be useful for UE to determine codebook size and detect DCI missing.</w:t>
            </w:r>
          </w:p>
          <w:p w14:paraId="4C1204AC" w14:textId="77777777" w:rsidR="00AA4AC8" w:rsidRDefault="0082369C">
            <w:pPr>
              <w:snapToGrid w:val="0"/>
              <w:spacing w:after="0"/>
              <w:jc w:val="both"/>
              <w:rPr>
                <w:color w:val="C00000"/>
                <w:sz w:val="18"/>
              </w:rPr>
            </w:pPr>
            <w:r>
              <w:rPr>
                <w:sz w:val="18"/>
              </w:rPr>
              <w:t>Observation 8: If one serving cell is configured and only C-DAI is present in the DCI, C-DAI for the disabled HARQ process should not be reserved in order to detect DCI missing.</w:t>
            </w:r>
          </w:p>
          <w:p w14:paraId="6A4A1CA3" w14:textId="77777777" w:rsidR="00AA4AC8" w:rsidRDefault="0082369C">
            <w:pPr>
              <w:snapToGrid w:val="0"/>
              <w:spacing w:after="0"/>
              <w:jc w:val="both"/>
              <w:rPr>
                <w:sz w:val="18"/>
              </w:rPr>
            </w:pPr>
            <w:r>
              <w:rPr>
                <w:sz w:val="18"/>
              </w:rPr>
              <w:t>Observation 9: When all DCIs of PDSCH are associated with feedback disabled HARQ process, if both values of C-DAI and T-DAI set as ‘0’, it would lead to confusion with miss-detected DCI case.</w:t>
            </w:r>
          </w:p>
          <w:p w14:paraId="38399778" w14:textId="77777777" w:rsidR="00AA4AC8" w:rsidRDefault="0082369C">
            <w:pPr>
              <w:snapToGrid w:val="0"/>
              <w:spacing w:after="0"/>
              <w:jc w:val="both"/>
              <w:rPr>
                <w:sz w:val="18"/>
              </w:rPr>
            </w:pPr>
            <w:r>
              <w:rPr>
                <w:sz w:val="18"/>
              </w:rPr>
              <w:t>Observation 10: If the disabled HARQ-ACK configuration between dynamic PDSCH and SPS PDSCH is shared, there would be both feedback-enabled and feedback-disabled PDSCHs with one SPS configuration.</w:t>
            </w:r>
          </w:p>
          <w:p w14:paraId="1474B2E9" w14:textId="77777777" w:rsidR="00AA4AC8" w:rsidRDefault="0082369C">
            <w:pPr>
              <w:snapToGrid w:val="0"/>
              <w:spacing w:after="0"/>
              <w:jc w:val="both"/>
              <w:rPr>
                <w:sz w:val="18"/>
              </w:rPr>
            </w:pPr>
            <w:r>
              <w:rPr>
                <w:sz w:val="18"/>
              </w:rPr>
              <w:t>Observation 11: The “HARQ process number” field of a DCI indicating a SPS PDSCH activation do not indicate any valid HARQ process number.</w:t>
            </w:r>
          </w:p>
          <w:p w14:paraId="5C003FBA" w14:textId="77777777" w:rsidR="00AA4AC8" w:rsidRDefault="0082369C">
            <w:pPr>
              <w:snapToGrid w:val="0"/>
              <w:spacing w:after="0"/>
              <w:jc w:val="both"/>
              <w:rPr>
                <w:sz w:val="18"/>
              </w:rPr>
            </w:pPr>
            <w:r>
              <w:rPr>
                <w:sz w:val="18"/>
              </w:rPr>
              <w:t xml:space="preserve">Proposal 1: For type-1 HARQ-ACK codebook, the </w:t>
            </w:r>
            <w:r>
              <w:rPr>
                <w:bCs/>
                <w:sz w:val="18"/>
              </w:rPr>
              <w:t xml:space="preserve">UE </w:t>
            </w:r>
            <w:r>
              <w:rPr>
                <w:sz w:val="18"/>
              </w:rPr>
              <w:t>always</w:t>
            </w:r>
            <w:r>
              <w:rPr>
                <w:bCs/>
                <w:sz w:val="18"/>
              </w:rPr>
              <w:t xml:space="preserve"> r</w:t>
            </w:r>
            <w:r>
              <w:rPr>
                <w:sz w:val="18"/>
              </w:rPr>
              <w:t xml:space="preserve">eports NACK for the feedback-disabled HARQ process regardless of decoding results of corresponding PDSCH. </w:t>
            </w:r>
          </w:p>
          <w:p w14:paraId="1099AD6C" w14:textId="77777777" w:rsidR="00AA4AC8" w:rsidRDefault="0082369C">
            <w:pPr>
              <w:snapToGrid w:val="0"/>
              <w:spacing w:after="0"/>
              <w:jc w:val="both"/>
              <w:rPr>
                <w:sz w:val="18"/>
              </w:rPr>
            </w:pPr>
            <w:r>
              <w:rPr>
                <w:sz w:val="18"/>
              </w:rPr>
              <w:t>Proposal 2: For type-1 HARQ-ACK codebook, when only DCI carrying feedback-disabled HARQ process is detected by UE, the UE behaviour is same as the case if DCIs carrying the feedback-disabled and feedback-enabled HARQ processes are detected by UE.</w:t>
            </w:r>
          </w:p>
          <w:p w14:paraId="729EBC75" w14:textId="77777777" w:rsidR="00AA4AC8" w:rsidRDefault="0082369C">
            <w:pPr>
              <w:snapToGrid w:val="0"/>
              <w:spacing w:after="0"/>
              <w:jc w:val="both"/>
              <w:rPr>
                <w:sz w:val="18"/>
              </w:rPr>
            </w:pPr>
            <w:r>
              <w:rPr>
                <w:sz w:val="18"/>
              </w:rPr>
              <w:t>Proposal 3: In Type-2 codebook, for the DCI of PDSCH with feedback-disabled HARQ process, the C-DAI and T-DAI are the count of feedback-enabled processes, despite they are not incremented, and are taken into account by the UE for codebook generation.</w:t>
            </w:r>
          </w:p>
          <w:p w14:paraId="4EB0C57F" w14:textId="77777777" w:rsidR="00AA4AC8" w:rsidRDefault="0082369C">
            <w:pPr>
              <w:snapToGrid w:val="0"/>
              <w:spacing w:after="0"/>
              <w:jc w:val="both"/>
              <w:rPr>
                <w:sz w:val="18"/>
              </w:rPr>
            </w:pPr>
            <w:r>
              <w:rPr>
                <w:sz w:val="18"/>
              </w:rPr>
              <w:t xml:space="preserve">Proposal 4: Up to current PDCCH monitor occasion, if all DCIs of PDSCH are associated with feedback disabled HARQ process, the value of C-DAI and T-DAI set to </w:t>
            </w:r>
            <m:oMath>
              <m:sSubSup>
                <m:sSubSupPr>
                  <m:ctrlPr>
                    <w:rPr>
                      <w:rFonts w:ascii="Cambria Math" w:hAnsi="Cambria Math"/>
                      <w:sz w:val="18"/>
                    </w:rPr>
                  </m:ctrlPr>
                </m:sSubSupPr>
                <m:e>
                  <m:r>
                    <m:rPr>
                      <m:sty m:val="p"/>
                    </m:rPr>
                    <w:rPr>
                      <w:rFonts w:ascii="Cambria Math" w:hAnsi="Cambria Math"/>
                      <w:sz w:val="18"/>
                    </w:rPr>
                    <m:t>V</m:t>
                  </m:r>
                </m:e>
                <m:sub>
                  <m:r>
                    <m:rPr>
                      <m:nor/>
                    </m:rPr>
                    <w:rPr>
                      <w:sz w:val="18"/>
                    </w:rPr>
                    <m:t>C-DAI</m:t>
                  </m:r>
                </m:sub>
                <m:sup>
                  <m:r>
                    <m:rPr>
                      <m:nor/>
                    </m:rPr>
                    <w:rPr>
                      <w:sz w:val="18"/>
                    </w:rPr>
                    <m:t>DL</m:t>
                  </m:r>
                </m:sup>
              </m:sSubSup>
              <m:r>
                <m:rPr>
                  <m:sty m:val="p"/>
                </m:rPr>
                <w:rPr>
                  <w:rFonts w:ascii="Cambria Math" w:hAnsi="Cambria Math"/>
                  <w:sz w:val="18"/>
                </w:rPr>
                <m:t>=4</m:t>
              </m:r>
            </m:oMath>
            <w:r>
              <w:rPr>
                <w:sz w:val="18"/>
              </w:rPr>
              <w:t xml:space="preserve"> and </w:t>
            </w:r>
            <m:oMath>
              <m:sSubSup>
                <m:sSubSupPr>
                  <m:ctrlPr>
                    <w:rPr>
                      <w:rFonts w:ascii="Cambria Math" w:hAnsi="Cambria Math"/>
                      <w:sz w:val="18"/>
                    </w:rPr>
                  </m:ctrlPr>
                </m:sSubSupPr>
                <m:e>
                  <m:r>
                    <m:rPr>
                      <m:sty m:val="p"/>
                    </m:rPr>
                    <w:rPr>
                      <w:rFonts w:ascii="Cambria Math" w:hAnsi="Cambria Math"/>
                      <w:sz w:val="18"/>
                    </w:rPr>
                    <m:t>V</m:t>
                  </m:r>
                </m:e>
                <m:sub>
                  <m:r>
                    <m:rPr>
                      <m:nor/>
                    </m:rPr>
                    <w:rPr>
                      <w:sz w:val="18"/>
                    </w:rPr>
                    <m:t>T-DAI</m:t>
                  </m:r>
                </m:sub>
                <m:sup>
                  <m:r>
                    <m:rPr>
                      <m:nor/>
                    </m:rPr>
                    <w:rPr>
                      <w:sz w:val="18"/>
                    </w:rPr>
                    <m:t>DL</m:t>
                  </m:r>
                </m:sup>
              </m:sSubSup>
              <m:r>
                <m:rPr>
                  <m:sty m:val="p"/>
                </m:rPr>
                <w:rPr>
                  <w:rFonts w:ascii="Cambria Math" w:hAnsi="Cambria Math"/>
                  <w:sz w:val="18"/>
                </w:rPr>
                <m:t>=4</m:t>
              </m:r>
            </m:oMath>
            <w:r>
              <w:rPr>
                <w:sz w:val="18"/>
              </w:rPr>
              <w:t>.</w:t>
            </w:r>
          </w:p>
          <w:p w14:paraId="6E956FAD" w14:textId="77777777" w:rsidR="00AA4AC8" w:rsidRDefault="0082369C">
            <w:pPr>
              <w:snapToGrid w:val="0"/>
              <w:spacing w:after="0"/>
              <w:jc w:val="both"/>
              <w:rPr>
                <w:sz w:val="18"/>
              </w:rPr>
            </w:pPr>
            <w:r>
              <w:rPr>
                <w:sz w:val="18"/>
              </w:rPr>
              <w:t>Proposal 5: For Type-3 HARQ-ACK codebook, skip the feedback for the disabled HARQ processes.</w:t>
            </w:r>
          </w:p>
          <w:p w14:paraId="75EA382E" w14:textId="77777777" w:rsidR="00AA4AC8" w:rsidRDefault="0082369C">
            <w:pPr>
              <w:snapToGrid w:val="0"/>
              <w:spacing w:after="0"/>
              <w:jc w:val="both"/>
              <w:rPr>
                <w:sz w:val="18"/>
              </w:rPr>
            </w:pPr>
            <w:r>
              <w:rPr>
                <w:sz w:val="18"/>
              </w:rPr>
              <w:t>Proposal 6: For SPS PDSCH, the feedback for the HARQ process associated to SPS PDSCH can be disabled by RRC configuration per SPS configuration.</w:t>
            </w:r>
          </w:p>
          <w:p w14:paraId="357A3220" w14:textId="77777777" w:rsidR="00AA4AC8" w:rsidRDefault="0082369C">
            <w:pPr>
              <w:snapToGrid w:val="0"/>
              <w:spacing w:after="0"/>
              <w:jc w:val="both"/>
              <w:rPr>
                <w:sz w:val="18"/>
              </w:rPr>
            </w:pPr>
            <w:r>
              <w:rPr>
                <w:sz w:val="18"/>
              </w:rPr>
              <w:t>Proposal 7: For SPS PDSCH, ACK/NACK is reported by UE for the first SPS PDSCH regardless of network configuration of enabled/disabled for this SPS configuration.</w:t>
            </w:r>
          </w:p>
          <w:p w14:paraId="2BE1C161" w14:textId="77777777" w:rsidR="00AA4AC8" w:rsidRDefault="0082369C">
            <w:pPr>
              <w:snapToGrid w:val="0"/>
              <w:spacing w:after="0"/>
              <w:jc w:val="both"/>
              <w:rPr>
                <w:sz w:val="18"/>
              </w:rPr>
            </w:pPr>
            <w:r>
              <w:rPr>
                <w:sz w:val="18"/>
              </w:rPr>
              <w:t>Proposal 8: Aggregation/repetition transmission parameters can be configured depending on orbital height.</w:t>
            </w:r>
          </w:p>
          <w:p w14:paraId="0EC47238" w14:textId="77777777" w:rsidR="00AA4AC8" w:rsidRDefault="0082369C">
            <w:pPr>
              <w:snapToGrid w:val="0"/>
              <w:spacing w:after="0"/>
              <w:jc w:val="both"/>
              <w:rPr>
                <w:sz w:val="18"/>
              </w:rPr>
            </w:pPr>
            <w:r>
              <w:rPr>
                <w:sz w:val="18"/>
              </w:rPr>
              <w:lastRenderedPageBreak/>
              <w:t>Proposal 9: To guarantee BLER target in GEO deployment, the maximum number of supported aggregation factor for PDSCH is 32.</w:t>
            </w:r>
          </w:p>
          <w:p w14:paraId="215E88DD" w14:textId="77777777" w:rsidR="00AA4AC8" w:rsidRDefault="0082369C">
            <w:pPr>
              <w:snapToGrid w:val="0"/>
              <w:spacing w:after="0"/>
              <w:jc w:val="both"/>
              <w:rPr>
                <w:sz w:val="18"/>
              </w:rPr>
            </w:pPr>
            <w:r>
              <w:rPr>
                <w:sz w:val="18"/>
              </w:rPr>
              <w:t>Proposal 10: Aggregation/repetition transmission parameters can be indicated via DCI.</w:t>
            </w:r>
          </w:p>
          <w:p w14:paraId="42B55ACE" w14:textId="77777777" w:rsidR="00AA4AC8" w:rsidRDefault="0082369C">
            <w:pPr>
              <w:snapToGrid w:val="0"/>
              <w:spacing w:after="0"/>
              <w:jc w:val="both"/>
              <w:rPr>
                <w:sz w:val="18"/>
              </w:rPr>
            </w:pPr>
            <w:r>
              <w:rPr>
                <w:sz w:val="18"/>
              </w:rPr>
              <w:t>Proposal 11: Reinterpret idle bits in DCI for indicating transmission parameters.</w:t>
            </w:r>
          </w:p>
          <w:p w14:paraId="4269667B" w14:textId="77777777" w:rsidR="00AA4AC8" w:rsidRDefault="0082369C">
            <w:pPr>
              <w:snapToGrid w:val="0"/>
              <w:spacing w:after="0"/>
              <w:jc w:val="both"/>
              <w:rPr>
                <w:sz w:val="18"/>
              </w:rPr>
            </w:pPr>
            <w:r>
              <w:rPr>
                <w:sz w:val="18"/>
                <w:lang w:eastAsia="ja-JP"/>
              </w:rPr>
              <w:t xml:space="preserve">Proposal 12: </w:t>
            </w:r>
            <w:r>
              <w:rPr>
                <w:sz w:val="18"/>
              </w:rPr>
              <w:t>UE assistance information reporting in reserved resource can be considered for NTN.</w:t>
            </w:r>
          </w:p>
          <w:p w14:paraId="608D47C3" w14:textId="77777777" w:rsidR="00AA4AC8" w:rsidRDefault="0082369C">
            <w:pPr>
              <w:snapToGrid w:val="0"/>
              <w:spacing w:after="0"/>
              <w:jc w:val="both"/>
              <w:rPr>
                <w:sz w:val="18"/>
              </w:rPr>
            </w:pPr>
            <w:r>
              <w:rPr>
                <w:sz w:val="18"/>
              </w:rPr>
              <w:t>Proposal 13: For uplink in NTN, a new RRC parameter of “nrofHARQ-ProcessesForPUSCH” is added and the value should choose from {16, 32}.</w:t>
            </w:r>
          </w:p>
        </w:tc>
      </w:tr>
      <w:tr w:rsidR="00AA4AC8" w14:paraId="4BF6B549" w14:textId="77777777">
        <w:trPr>
          <w:trHeight w:val="398"/>
          <w:jc w:val="center"/>
        </w:trPr>
        <w:tc>
          <w:tcPr>
            <w:tcW w:w="1883" w:type="dxa"/>
            <w:shd w:val="clear" w:color="auto" w:fill="auto"/>
            <w:vAlign w:val="center"/>
          </w:tcPr>
          <w:p w14:paraId="4D78EDA0" w14:textId="77777777" w:rsidR="00AA4AC8" w:rsidRDefault="0082369C">
            <w:pPr>
              <w:snapToGrid w:val="0"/>
              <w:spacing w:after="0"/>
              <w:jc w:val="center"/>
              <w:rPr>
                <w:sz w:val="18"/>
              </w:rPr>
            </w:pPr>
            <w:r>
              <w:rPr>
                <w:sz w:val="18"/>
              </w:rPr>
              <w:lastRenderedPageBreak/>
              <w:t>R1-2110901 Nokia</w:t>
            </w:r>
          </w:p>
        </w:tc>
        <w:tc>
          <w:tcPr>
            <w:tcW w:w="8744" w:type="dxa"/>
            <w:vAlign w:val="center"/>
          </w:tcPr>
          <w:p w14:paraId="3340E446" w14:textId="77777777" w:rsidR="00AA4AC8" w:rsidRDefault="0082369C">
            <w:pPr>
              <w:snapToGrid w:val="0"/>
              <w:spacing w:after="0"/>
              <w:rPr>
                <w:bCs/>
                <w:sz w:val="18"/>
              </w:rPr>
            </w:pPr>
            <w:r>
              <w:rPr>
                <w:bCs/>
                <w:sz w:val="18"/>
              </w:rPr>
              <w:t>Observation 1: The gNB may still blindly schedule HARQ retransmissions for processes that are not expected to provide HARQ feedback.</w:t>
            </w:r>
          </w:p>
          <w:p w14:paraId="5B822067" w14:textId="77777777" w:rsidR="00AA4AC8" w:rsidRDefault="0082369C">
            <w:pPr>
              <w:snapToGrid w:val="0"/>
              <w:spacing w:after="0"/>
              <w:rPr>
                <w:bCs/>
                <w:sz w:val="18"/>
              </w:rPr>
            </w:pPr>
            <w:r>
              <w:rPr>
                <w:bCs/>
                <w:sz w:val="18"/>
              </w:rPr>
              <w:t>Observation 2: Even that HARQ feedback may be disabled for a HARQ process, the UE still need to evaluate the CRC for the received packet on the PDSCH.</w:t>
            </w:r>
          </w:p>
          <w:p w14:paraId="2A21FA7E" w14:textId="77777777" w:rsidR="00AA4AC8" w:rsidRDefault="0082369C">
            <w:pPr>
              <w:snapToGrid w:val="0"/>
              <w:spacing w:after="0"/>
              <w:rPr>
                <w:bCs/>
                <w:sz w:val="18"/>
              </w:rPr>
            </w:pPr>
            <w:r>
              <w:rPr>
                <w:bCs/>
                <w:sz w:val="18"/>
              </w:rPr>
              <w:t>Observation 3: The information on successful or failed packet reception may still be useful for the gNB, even that it is received with delay.</w:t>
            </w:r>
          </w:p>
          <w:p w14:paraId="74937CE7" w14:textId="77777777" w:rsidR="00AA4AC8" w:rsidRDefault="0082369C">
            <w:pPr>
              <w:snapToGrid w:val="0"/>
              <w:spacing w:after="0"/>
              <w:rPr>
                <w:bCs/>
                <w:sz w:val="18"/>
              </w:rPr>
            </w:pPr>
            <w:r>
              <w:rPr>
                <w:bCs/>
                <w:sz w:val="18"/>
              </w:rPr>
              <w:t>Proposal 1: For Type-1 HARQ codebook with DCIs carrying both feedback-disabled and feedback enabled HARQ processes, select Option-2 such that the UE will always generate the true HARQ feedback value.</w:t>
            </w:r>
          </w:p>
          <w:p w14:paraId="592B8E8C" w14:textId="77777777" w:rsidR="00AA4AC8" w:rsidRDefault="0082369C">
            <w:pPr>
              <w:snapToGrid w:val="0"/>
              <w:spacing w:after="0"/>
              <w:rPr>
                <w:bCs/>
                <w:sz w:val="18"/>
              </w:rPr>
            </w:pPr>
            <w:r>
              <w:rPr>
                <w:bCs/>
                <w:sz w:val="18"/>
              </w:rPr>
              <w:t>Proposal 2: For Type-1 HARQ codebook with DCIs carrying only feedback-disabled HARQ processes, select Option-1 such that the UE will always generate a HARQ codebook for transmission.</w:t>
            </w:r>
          </w:p>
          <w:p w14:paraId="77086899" w14:textId="77777777" w:rsidR="00AA4AC8" w:rsidRDefault="0082369C">
            <w:pPr>
              <w:snapToGrid w:val="0"/>
              <w:spacing w:after="0"/>
              <w:rPr>
                <w:bCs/>
                <w:sz w:val="18"/>
              </w:rPr>
            </w:pPr>
            <w:r>
              <w:rPr>
                <w:bCs/>
                <w:sz w:val="18"/>
              </w:rPr>
              <w:t>Proposal 3: In case of the group agreeing on selecting Option-2 for the case of Type-1 HARQ codebook with DCIs carrying only feedback-disabled HARQ processes, this should be limited to cases where the HARQ codebook is the only UCI for the PUCCH.</w:t>
            </w:r>
          </w:p>
          <w:p w14:paraId="18A1AA53" w14:textId="77777777" w:rsidR="00AA4AC8" w:rsidRDefault="0082369C">
            <w:pPr>
              <w:snapToGrid w:val="0"/>
              <w:spacing w:after="0"/>
              <w:rPr>
                <w:bCs/>
                <w:sz w:val="18"/>
              </w:rPr>
            </w:pPr>
            <w:r>
              <w:rPr>
                <w:bCs/>
                <w:sz w:val="18"/>
              </w:rPr>
              <w:t>Proposal 4: For Type-2 HARQ codebook, select Option-1 such that C-DAI and T-DAI are the count of the feedback-enabled processes.</w:t>
            </w:r>
          </w:p>
          <w:p w14:paraId="0D0FE5A2" w14:textId="77777777" w:rsidR="00AA4AC8" w:rsidRDefault="0082369C">
            <w:pPr>
              <w:snapToGrid w:val="0"/>
              <w:spacing w:after="0"/>
              <w:rPr>
                <w:bCs/>
                <w:sz w:val="18"/>
              </w:rPr>
            </w:pPr>
            <w:r>
              <w:rPr>
                <w:bCs/>
                <w:sz w:val="18"/>
              </w:rPr>
              <w:t>Proposal 5: No enhancements or optimizations are implemented for Type-3 HARQ codebook. The codebook size should not be depending on the configuration for HARQ-ACK feedback (feedback enabled or disabled).</w:t>
            </w:r>
          </w:p>
          <w:p w14:paraId="35E92329" w14:textId="77777777" w:rsidR="00AA4AC8" w:rsidRDefault="0082369C">
            <w:pPr>
              <w:snapToGrid w:val="0"/>
              <w:spacing w:after="0"/>
              <w:rPr>
                <w:sz w:val="18"/>
              </w:rPr>
            </w:pPr>
            <w:r>
              <w:rPr>
                <w:bCs/>
                <w:sz w:val="18"/>
              </w:rPr>
              <w:t>Proposal 6: For NTN operation, the maximum level of slot aggregation to be considered should be 16 slots.</w:t>
            </w:r>
          </w:p>
        </w:tc>
      </w:tr>
      <w:tr w:rsidR="00AA4AC8" w14:paraId="50B050A9" w14:textId="77777777">
        <w:trPr>
          <w:trHeight w:val="398"/>
          <w:jc w:val="center"/>
        </w:trPr>
        <w:tc>
          <w:tcPr>
            <w:tcW w:w="1883" w:type="dxa"/>
            <w:shd w:val="clear" w:color="auto" w:fill="auto"/>
            <w:vAlign w:val="center"/>
          </w:tcPr>
          <w:p w14:paraId="52957FBE" w14:textId="77777777" w:rsidR="00AA4AC8" w:rsidRDefault="0082369C">
            <w:pPr>
              <w:snapToGrid w:val="0"/>
              <w:spacing w:after="0"/>
              <w:jc w:val="center"/>
              <w:rPr>
                <w:sz w:val="18"/>
              </w:rPr>
            </w:pPr>
            <w:r>
              <w:rPr>
                <w:sz w:val="18"/>
              </w:rPr>
              <w:t>R1-2111011 vivo</w:t>
            </w:r>
          </w:p>
        </w:tc>
        <w:tc>
          <w:tcPr>
            <w:tcW w:w="8744" w:type="dxa"/>
            <w:vAlign w:val="center"/>
          </w:tcPr>
          <w:p w14:paraId="4C528E24" w14:textId="77777777" w:rsidR="00AA4AC8" w:rsidRDefault="0082369C">
            <w:pPr>
              <w:snapToGrid w:val="0"/>
              <w:spacing w:after="0"/>
              <w:rPr>
                <w:sz w:val="18"/>
              </w:rPr>
            </w:pPr>
            <w:r>
              <w:rPr>
                <w:sz w:val="18"/>
              </w:rPr>
              <w:t>Proposal 1: For Type-1 codebook, if both feedback-enabled HARQ processes and feedback-disabled HARQ processes are received by UE, support the legacy behaviour.</w:t>
            </w:r>
          </w:p>
          <w:p w14:paraId="1623C70F" w14:textId="77777777" w:rsidR="00AA4AC8" w:rsidRDefault="0082369C">
            <w:pPr>
              <w:snapToGrid w:val="0"/>
              <w:spacing w:after="0"/>
              <w:rPr>
                <w:sz w:val="18"/>
              </w:rPr>
            </w:pPr>
            <w:r>
              <w:rPr>
                <w:sz w:val="18"/>
              </w:rPr>
              <w:t>Proposal 2: For Type-1 codebook, if only feedback-disabled HARQ processes are received by UE (including dynamic PDSCH and/or SPS PDSCH), the UE skips the HARQ-ACK codebook feedback except for other information multiplexed in the same UCI.</w:t>
            </w:r>
          </w:p>
          <w:p w14:paraId="759844F7" w14:textId="77777777" w:rsidR="00AA4AC8" w:rsidRDefault="0082369C">
            <w:pPr>
              <w:snapToGrid w:val="0"/>
              <w:spacing w:after="0"/>
              <w:rPr>
                <w:rFonts w:eastAsiaTheme="minorEastAsia"/>
                <w:sz w:val="18"/>
              </w:rPr>
            </w:pPr>
            <w:r>
              <w:rPr>
                <w:sz w:val="18"/>
              </w:rPr>
              <w:t>Proposal 3: For Type-2 codebook, DAI counts only DCI of PDSCH associated with feedback-enabled HARQ processes and SPS PDSCH release.</w:t>
            </w:r>
          </w:p>
          <w:p w14:paraId="6D9AB29C" w14:textId="77777777" w:rsidR="00AA4AC8" w:rsidRDefault="0082369C">
            <w:pPr>
              <w:snapToGrid w:val="0"/>
              <w:spacing w:after="0"/>
              <w:rPr>
                <w:rFonts w:eastAsiaTheme="minorEastAsia"/>
                <w:sz w:val="18"/>
              </w:rPr>
            </w:pPr>
            <w:r>
              <w:rPr>
                <w:sz w:val="18"/>
              </w:rPr>
              <w:t>Proposal 4: For the DCI of PDSCH with feedback-disabled HARQ processes, the C-DAI and T-DAI are ignored by the UE regardless of the value for Type 2 codebook generation.</w:t>
            </w:r>
          </w:p>
          <w:p w14:paraId="62C306AD" w14:textId="77777777" w:rsidR="00AA4AC8" w:rsidRDefault="0082369C">
            <w:pPr>
              <w:snapToGrid w:val="0"/>
              <w:spacing w:after="0"/>
              <w:rPr>
                <w:sz w:val="18"/>
              </w:rPr>
            </w:pPr>
            <w:r>
              <w:rPr>
                <w:sz w:val="18"/>
              </w:rPr>
              <w:t>Proposal 5: For Type-3 HARQ-ACK codebook, HARQ-ACK codebook only includes HARQ-ACK information for all the feedback-enabled HARQ processes in one shot.</w:t>
            </w:r>
          </w:p>
          <w:p w14:paraId="6EE40C5D" w14:textId="77777777" w:rsidR="00AA4AC8" w:rsidRDefault="0082369C">
            <w:pPr>
              <w:snapToGrid w:val="0"/>
              <w:spacing w:after="0"/>
              <w:rPr>
                <w:sz w:val="18"/>
              </w:rPr>
            </w:pPr>
            <w:r>
              <w:rPr>
                <w:sz w:val="18"/>
              </w:rPr>
              <w:t>Proposal 6: For SPS activation PDSCH, DAI is increased and HARQ-ACK information is reported by UE regardless of disabling/enabling HARQ configuration.</w:t>
            </w:r>
          </w:p>
          <w:p w14:paraId="3DBB2CBE" w14:textId="77777777" w:rsidR="00AA4AC8" w:rsidRDefault="0082369C">
            <w:pPr>
              <w:snapToGrid w:val="0"/>
              <w:spacing w:after="0"/>
              <w:rPr>
                <w:sz w:val="18"/>
              </w:rPr>
            </w:pPr>
            <w:r>
              <w:rPr>
                <w:sz w:val="18"/>
              </w:rPr>
              <w:t>The SPS period is kept for the subsequent SPS PDSCHs.</w:t>
            </w:r>
          </w:p>
        </w:tc>
      </w:tr>
      <w:tr w:rsidR="00AA4AC8" w14:paraId="6601608F" w14:textId="77777777">
        <w:trPr>
          <w:trHeight w:val="398"/>
          <w:jc w:val="center"/>
        </w:trPr>
        <w:tc>
          <w:tcPr>
            <w:tcW w:w="1883" w:type="dxa"/>
            <w:shd w:val="clear" w:color="auto" w:fill="auto"/>
            <w:vAlign w:val="center"/>
          </w:tcPr>
          <w:p w14:paraId="171342DB" w14:textId="77777777" w:rsidR="00AA4AC8" w:rsidRDefault="0082369C">
            <w:pPr>
              <w:snapToGrid w:val="0"/>
              <w:spacing w:after="0"/>
              <w:jc w:val="center"/>
              <w:rPr>
                <w:sz w:val="18"/>
              </w:rPr>
            </w:pPr>
            <w:r>
              <w:rPr>
                <w:sz w:val="18"/>
              </w:rPr>
              <w:t>R1-2111099</w:t>
            </w:r>
          </w:p>
          <w:p w14:paraId="58F88EC5" w14:textId="77777777" w:rsidR="00AA4AC8" w:rsidRDefault="0082369C">
            <w:pPr>
              <w:snapToGrid w:val="0"/>
              <w:spacing w:after="0"/>
              <w:jc w:val="center"/>
              <w:rPr>
                <w:sz w:val="18"/>
              </w:rPr>
            </w:pPr>
            <w:r>
              <w:rPr>
                <w:sz w:val="18"/>
              </w:rPr>
              <w:t>Spreadtrum</w:t>
            </w:r>
          </w:p>
        </w:tc>
        <w:tc>
          <w:tcPr>
            <w:tcW w:w="8744" w:type="dxa"/>
            <w:vAlign w:val="center"/>
          </w:tcPr>
          <w:p w14:paraId="5289F2C8" w14:textId="77777777" w:rsidR="00AA4AC8" w:rsidRDefault="0082369C">
            <w:pPr>
              <w:autoSpaceDE/>
              <w:autoSpaceDN/>
              <w:snapToGrid w:val="0"/>
              <w:spacing w:after="0"/>
              <w:rPr>
                <w:sz w:val="18"/>
              </w:rPr>
            </w:pPr>
            <w:r>
              <w:rPr>
                <w:sz w:val="18"/>
              </w:rPr>
              <w:t>Proposal 1: For Type-1 HARQ codebook, if DCIs carrying the feedback-disabled and feedback-enabled HARQ processes are detected by UE, The UE will report NACK/ACK for the feedback-disabled HARQ process depending on the decoding results of corresponding PDSCH.</w:t>
            </w:r>
          </w:p>
          <w:p w14:paraId="1133CCFC" w14:textId="77777777" w:rsidR="00AA4AC8" w:rsidRDefault="0082369C">
            <w:pPr>
              <w:autoSpaceDE/>
              <w:autoSpaceDN/>
              <w:snapToGrid w:val="0"/>
              <w:spacing w:after="0"/>
              <w:rPr>
                <w:sz w:val="18"/>
              </w:rPr>
            </w:pPr>
            <w:r>
              <w:rPr>
                <w:sz w:val="18"/>
              </w:rPr>
              <w:t>Proposal 2: If only DCI carrying feedback-disabled HARQ process is detected by UE, the UE’s behavior is same as the case if DCIs carrying the feedback-disabled and feedback-enabled HARQ processes are detected by UE.</w:t>
            </w:r>
          </w:p>
          <w:p w14:paraId="0B4B895C" w14:textId="77777777" w:rsidR="00AA4AC8" w:rsidRDefault="0082369C">
            <w:pPr>
              <w:autoSpaceDE/>
              <w:autoSpaceDN/>
              <w:snapToGrid w:val="0"/>
              <w:spacing w:after="0"/>
              <w:rPr>
                <w:sz w:val="18"/>
              </w:rPr>
            </w:pPr>
            <w:r>
              <w:rPr>
                <w:sz w:val="18"/>
              </w:rPr>
              <w:t>Proposal 3: For codebook generation, the UE assume that the C-DAI and T-DAI of the DCI of PDSCH with feedback-disabled process is the same as the C-DAI and T-DAI of the most recently transmitted DCI of PDSCH with feedback-enabled process by gNB.</w:t>
            </w:r>
          </w:p>
          <w:p w14:paraId="6BE14F88" w14:textId="77777777" w:rsidR="00AA4AC8" w:rsidRDefault="0082369C">
            <w:pPr>
              <w:autoSpaceDE/>
              <w:autoSpaceDN/>
              <w:snapToGrid w:val="0"/>
              <w:spacing w:after="0"/>
              <w:rPr>
                <w:sz w:val="18"/>
              </w:rPr>
            </w:pPr>
            <w:r>
              <w:rPr>
                <w:sz w:val="18"/>
              </w:rPr>
              <w:t>Proposal 4: For Type-3 HARQ codebook in NTN, the UE should skip the HARQ-ACK feedback for a feedback-disabled HARQ processes, if it is supported in NTN.</w:t>
            </w:r>
          </w:p>
          <w:p w14:paraId="3DB50EB1" w14:textId="77777777" w:rsidR="00AA4AC8" w:rsidRDefault="0082369C">
            <w:pPr>
              <w:autoSpaceDE/>
              <w:autoSpaceDN/>
              <w:snapToGrid w:val="0"/>
              <w:spacing w:after="0"/>
              <w:rPr>
                <w:bCs/>
                <w:sz w:val="18"/>
              </w:rPr>
            </w:pPr>
            <w:r>
              <w:rPr>
                <w:sz w:val="18"/>
              </w:rPr>
              <w:t>Proposal 5: For DCI indicating SPS PDSCH activation, DAI is increased for the DCI indicating SPS activation and ACK/NACK is reported by UE regardless of network configuration of enabled/disabled HARQ feedback for the first SPS PDSCH.</w:t>
            </w:r>
          </w:p>
        </w:tc>
      </w:tr>
      <w:tr w:rsidR="00AA4AC8" w14:paraId="501A21C6" w14:textId="77777777">
        <w:trPr>
          <w:trHeight w:val="398"/>
          <w:jc w:val="center"/>
        </w:trPr>
        <w:tc>
          <w:tcPr>
            <w:tcW w:w="1883" w:type="dxa"/>
            <w:shd w:val="clear" w:color="auto" w:fill="auto"/>
            <w:vAlign w:val="center"/>
          </w:tcPr>
          <w:p w14:paraId="5DE239FF" w14:textId="77777777" w:rsidR="00AA4AC8" w:rsidRDefault="0082369C">
            <w:pPr>
              <w:snapToGrid w:val="0"/>
              <w:spacing w:after="0"/>
              <w:jc w:val="center"/>
              <w:rPr>
                <w:sz w:val="18"/>
              </w:rPr>
            </w:pPr>
            <w:r>
              <w:rPr>
                <w:sz w:val="18"/>
              </w:rPr>
              <w:t>R1-2111179 NEC</w:t>
            </w:r>
          </w:p>
        </w:tc>
        <w:tc>
          <w:tcPr>
            <w:tcW w:w="8744" w:type="dxa"/>
            <w:vAlign w:val="center"/>
          </w:tcPr>
          <w:p w14:paraId="4AD7C2A1"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_Ref86257031 \r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1</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_Ref86257031 \h  \* MERGEFORMAT </w:instrText>
            </w:r>
            <w:r>
              <w:rPr>
                <w:rFonts w:eastAsia="MS Mincho"/>
                <w:bCs/>
                <w:kern w:val="2"/>
                <w:sz w:val="18"/>
              </w:rPr>
            </w:r>
            <w:r>
              <w:rPr>
                <w:rFonts w:eastAsia="MS Mincho"/>
                <w:bCs/>
                <w:kern w:val="2"/>
                <w:sz w:val="18"/>
              </w:rPr>
              <w:fldChar w:fldCharType="separate"/>
            </w:r>
            <w:r>
              <w:rPr>
                <w:bCs/>
                <w:sz w:val="18"/>
                <w:lang w:eastAsia="ko-KR"/>
              </w:rPr>
              <w:t>For Type-1 HARQ codebook, if DCIs carrying the feedback-disabled and feedback-enabled HARQ processes are detected by UE, the UE will report NACK only for the feedback-disabled HARQ process regardless of decoding results of corresponding PDSCH.</w:t>
            </w:r>
            <w:r>
              <w:rPr>
                <w:rFonts w:eastAsia="MS Mincho"/>
                <w:bCs/>
                <w:kern w:val="2"/>
                <w:sz w:val="18"/>
              </w:rPr>
              <w:fldChar w:fldCharType="end"/>
            </w:r>
          </w:p>
          <w:p w14:paraId="52526FE8"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_Ref86762213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2</w:t>
            </w:r>
            <w:r>
              <w:rPr>
                <w:rFonts w:eastAsia="MS Mincho"/>
                <w:bCs/>
                <w:kern w:val="2"/>
                <w:sz w:val="18"/>
              </w:rPr>
              <w:fldChar w:fldCharType="end"/>
            </w:r>
            <w:r>
              <w:rPr>
                <w:rFonts w:eastAsia="MS Mincho"/>
                <w:bCs/>
                <w:kern w:val="2"/>
                <w:sz w:val="18"/>
              </w:rPr>
              <w:t>.</w:t>
            </w:r>
            <w:r>
              <w:rPr>
                <w:rFonts w:eastAsia="MS Mincho"/>
                <w:bCs/>
                <w:kern w:val="2"/>
                <w:sz w:val="18"/>
              </w:rPr>
              <w:fldChar w:fldCharType="begin"/>
            </w:r>
            <w:r>
              <w:rPr>
                <w:rFonts w:eastAsia="MS Mincho"/>
                <w:bCs/>
                <w:kern w:val="2"/>
                <w:sz w:val="18"/>
              </w:rPr>
              <w:instrText xml:space="preserve"> REF _Ref86762213 \h  \* MERGEFORMAT </w:instrText>
            </w:r>
            <w:r>
              <w:rPr>
                <w:rFonts w:eastAsia="MS Mincho"/>
                <w:bCs/>
                <w:kern w:val="2"/>
                <w:sz w:val="18"/>
              </w:rPr>
            </w:r>
            <w:r>
              <w:rPr>
                <w:rFonts w:eastAsia="MS Mincho"/>
                <w:bCs/>
                <w:kern w:val="2"/>
                <w:sz w:val="18"/>
              </w:rPr>
              <w:fldChar w:fldCharType="separate"/>
            </w:r>
            <w:r>
              <w:rPr>
                <w:bCs/>
                <w:sz w:val="18"/>
                <w:lang w:eastAsia="ko-KR"/>
              </w:rPr>
              <w:t>If only DCI carrying feedback-disabled HARQ process is detected by UE, the UE should skip the codebook feedback.</w:t>
            </w:r>
            <w:r>
              <w:rPr>
                <w:rFonts w:eastAsia="MS Mincho"/>
                <w:bCs/>
                <w:kern w:val="2"/>
                <w:sz w:val="18"/>
              </w:rPr>
              <w:fldChar w:fldCharType="end"/>
            </w:r>
          </w:p>
          <w:p w14:paraId="3F9BF3D1"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_Ref86434560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3</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_Ref86434560 \h  \* MERGEFORMAT </w:instrText>
            </w:r>
            <w:r>
              <w:rPr>
                <w:rFonts w:eastAsia="MS Mincho"/>
                <w:bCs/>
                <w:kern w:val="2"/>
                <w:sz w:val="18"/>
              </w:rPr>
            </w:r>
            <w:r>
              <w:rPr>
                <w:rFonts w:eastAsia="MS Mincho"/>
                <w:bCs/>
                <w:kern w:val="2"/>
                <w:sz w:val="18"/>
              </w:rPr>
              <w:fldChar w:fldCharType="separate"/>
            </w:r>
            <w:r>
              <w:rPr>
                <w:bCs/>
                <w:sz w:val="18"/>
                <w:lang w:eastAsia="ko-KR"/>
              </w:rPr>
              <w:t>The C-DAI and T-DAI are ignored by the UE regardless of the value for Type 2 codebook generation.</w:t>
            </w:r>
            <w:r>
              <w:rPr>
                <w:rFonts w:eastAsia="MS Mincho"/>
                <w:bCs/>
                <w:kern w:val="2"/>
                <w:sz w:val="18"/>
              </w:rPr>
              <w:fldChar w:fldCharType="end"/>
            </w:r>
          </w:p>
          <w:p w14:paraId="5CE57F47"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_Ref86434583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4</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_Ref86434583 \h  \* MERGEFORMAT </w:instrText>
            </w:r>
            <w:r>
              <w:rPr>
                <w:rFonts w:eastAsia="MS Mincho"/>
                <w:bCs/>
                <w:kern w:val="2"/>
                <w:sz w:val="18"/>
              </w:rPr>
            </w:r>
            <w:r>
              <w:rPr>
                <w:rFonts w:eastAsia="MS Mincho"/>
                <w:bCs/>
                <w:kern w:val="2"/>
                <w:sz w:val="18"/>
              </w:rPr>
              <w:fldChar w:fldCharType="separate"/>
            </w:r>
            <w:r>
              <w:rPr>
                <w:bCs/>
                <w:sz w:val="18"/>
                <w:lang w:eastAsia="ko-KR"/>
              </w:rPr>
              <w:t>For DCI indicating SPS PDSCH activation, DAI is increased for the corresponding DCI and ACK/NACK is reported by the UE regardless the HARQ feedback is enabled/disabled for the first SPS PDSCH.</w:t>
            </w:r>
            <w:r>
              <w:rPr>
                <w:rFonts w:eastAsia="MS Mincho"/>
                <w:bCs/>
                <w:kern w:val="2"/>
                <w:sz w:val="18"/>
              </w:rPr>
              <w:fldChar w:fldCharType="end"/>
            </w:r>
          </w:p>
          <w:p w14:paraId="6B50A546"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_Ref86434616 \w \h  \* MERGEFORMAT </w:instrText>
            </w:r>
            <w:r>
              <w:rPr>
                <w:rFonts w:eastAsia="MS Mincho"/>
                <w:bCs/>
                <w:kern w:val="2"/>
                <w:sz w:val="18"/>
              </w:rPr>
            </w:r>
            <w:r>
              <w:rPr>
                <w:rFonts w:eastAsia="MS Mincho"/>
                <w:bCs/>
                <w:kern w:val="2"/>
                <w:sz w:val="18"/>
              </w:rPr>
              <w:fldChar w:fldCharType="separate"/>
            </w:r>
            <w:r>
              <w:rPr>
                <w:rFonts w:eastAsia="MS Mincho"/>
                <w:bCs/>
                <w:kern w:val="2"/>
                <w:sz w:val="18"/>
              </w:rPr>
              <w:t>Observation 1</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_Ref86434616 \h  \* MERGEFORMAT </w:instrText>
            </w:r>
            <w:r>
              <w:rPr>
                <w:rFonts w:eastAsia="MS Mincho"/>
                <w:bCs/>
                <w:kern w:val="2"/>
                <w:sz w:val="18"/>
              </w:rPr>
            </w:r>
            <w:r>
              <w:rPr>
                <w:rFonts w:eastAsia="MS Mincho"/>
                <w:bCs/>
                <w:kern w:val="2"/>
                <w:sz w:val="18"/>
              </w:rPr>
              <w:fldChar w:fldCharType="separate"/>
            </w:r>
            <w:r>
              <w:rPr>
                <w:bCs/>
                <w:color w:val="000000"/>
                <w:sz w:val="18"/>
              </w:rPr>
              <w:t>HARQ process ID of SPS PDSCH is not determined before the DL transmission is started/activated.</w:t>
            </w:r>
            <w:r>
              <w:rPr>
                <w:rFonts w:eastAsia="MS Mincho"/>
                <w:bCs/>
                <w:kern w:val="2"/>
                <w:sz w:val="18"/>
              </w:rPr>
              <w:fldChar w:fldCharType="end"/>
            </w:r>
          </w:p>
          <w:p w14:paraId="0FE17082"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_Ref86434632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5</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_Ref86434632 \h  \* MERGEFORMAT </w:instrText>
            </w:r>
            <w:r>
              <w:rPr>
                <w:rFonts w:eastAsia="MS Mincho"/>
                <w:bCs/>
                <w:kern w:val="2"/>
                <w:sz w:val="18"/>
              </w:rPr>
            </w:r>
            <w:r>
              <w:rPr>
                <w:rFonts w:eastAsia="MS Mincho"/>
                <w:bCs/>
                <w:kern w:val="2"/>
                <w:sz w:val="18"/>
              </w:rPr>
              <w:fldChar w:fldCharType="separate"/>
            </w:r>
            <w:r>
              <w:rPr>
                <w:bCs/>
                <w:sz w:val="18"/>
                <w:lang w:eastAsia="ko-KR"/>
              </w:rPr>
              <w:t>The feedback for the HARQ process associated to SPS PDSCH can be disabled by RRC configuration per SPS configuration.</w:t>
            </w:r>
            <w:r>
              <w:rPr>
                <w:rFonts w:eastAsia="MS Mincho"/>
                <w:bCs/>
                <w:kern w:val="2"/>
                <w:sz w:val="18"/>
              </w:rPr>
              <w:fldChar w:fldCharType="end"/>
            </w:r>
          </w:p>
          <w:p w14:paraId="56A5EB4A" w14:textId="77777777" w:rsidR="00AA4AC8" w:rsidRDefault="0082369C">
            <w:pPr>
              <w:widowControl w:val="0"/>
              <w:snapToGrid w:val="0"/>
              <w:spacing w:after="0"/>
              <w:rPr>
                <w:rFonts w:eastAsia="MS Mincho"/>
                <w:bCs/>
                <w:kern w:val="2"/>
                <w:sz w:val="18"/>
              </w:rPr>
            </w:pPr>
            <w:r>
              <w:rPr>
                <w:rFonts w:eastAsia="MS Mincho"/>
                <w:bCs/>
                <w:kern w:val="2"/>
                <w:sz w:val="18"/>
              </w:rPr>
              <w:lastRenderedPageBreak/>
              <w:fldChar w:fldCharType="begin"/>
            </w:r>
            <w:r>
              <w:rPr>
                <w:rFonts w:eastAsia="MS Mincho"/>
                <w:bCs/>
                <w:kern w:val="2"/>
                <w:sz w:val="18"/>
              </w:rPr>
              <w:instrText xml:space="preserve"> REF _Ref86434648 \w \h  \* MERGEFORMAT </w:instrText>
            </w:r>
            <w:r>
              <w:rPr>
                <w:rFonts w:eastAsia="MS Mincho"/>
                <w:bCs/>
                <w:kern w:val="2"/>
                <w:sz w:val="18"/>
              </w:rPr>
            </w:r>
            <w:r>
              <w:rPr>
                <w:rFonts w:eastAsia="MS Mincho"/>
                <w:bCs/>
                <w:kern w:val="2"/>
                <w:sz w:val="18"/>
              </w:rPr>
              <w:fldChar w:fldCharType="separate"/>
            </w:r>
            <w:r>
              <w:rPr>
                <w:rFonts w:eastAsia="MS Mincho"/>
                <w:bCs/>
                <w:kern w:val="2"/>
                <w:sz w:val="18"/>
              </w:rPr>
              <w:t>Observation 2</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_Ref86434648 \h  \* MERGEFORMAT </w:instrText>
            </w:r>
            <w:r>
              <w:rPr>
                <w:rFonts w:eastAsia="MS Mincho"/>
                <w:bCs/>
                <w:kern w:val="2"/>
                <w:sz w:val="18"/>
              </w:rPr>
            </w:r>
            <w:r>
              <w:rPr>
                <w:rFonts w:eastAsia="MS Mincho"/>
                <w:bCs/>
                <w:kern w:val="2"/>
                <w:sz w:val="18"/>
              </w:rPr>
              <w:fldChar w:fldCharType="separate"/>
            </w:r>
            <w:r>
              <w:rPr>
                <w:bCs/>
                <w:color w:val="000000"/>
                <w:sz w:val="18"/>
              </w:rPr>
              <w:t>Dynamic indication to inform the UE if HARQ-feedback is expected or not for MA,c occasions can be useful to reduce codebook size.</w:t>
            </w:r>
            <w:r>
              <w:rPr>
                <w:rFonts w:eastAsia="MS Mincho"/>
                <w:bCs/>
                <w:kern w:val="2"/>
                <w:sz w:val="18"/>
              </w:rPr>
              <w:fldChar w:fldCharType="end"/>
            </w:r>
          </w:p>
          <w:p w14:paraId="36405B56"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_Ref86434659 \w \h  \* MERGEFORMAT </w:instrText>
            </w:r>
            <w:r>
              <w:rPr>
                <w:rFonts w:eastAsia="MS Mincho"/>
                <w:bCs/>
                <w:kern w:val="2"/>
                <w:sz w:val="18"/>
              </w:rPr>
            </w:r>
            <w:r>
              <w:rPr>
                <w:rFonts w:eastAsia="MS Mincho"/>
                <w:bCs/>
                <w:kern w:val="2"/>
                <w:sz w:val="18"/>
              </w:rPr>
              <w:fldChar w:fldCharType="separate"/>
            </w:r>
            <w:r>
              <w:rPr>
                <w:rFonts w:eastAsia="MS Mincho"/>
                <w:bCs/>
                <w:kern w:val="2"/>
                <w:sz w:val="18"/>
              </w:rPr>
              <w:t>Observation 3</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_Ref86434659 \h  \* MERGEFORMAT </w:instrText>
            </w:r>
            <w:r>
              <w:rPr>
                <w:rFonts w:eastAsia="MS Mincho"/>
                <w:bCs/>
                <w:kern w:val="2"/>
                <w:sz w:val="18"/>
              </w:rPr>
            </w:r>
            <w:r>
              <w:rPr>
                <w:rFonts w:eastAsia="MS Mincho"/>
                <w:bCs/>
                <w:kern w:val="2"/>
                <w:sz w:val="18"/>
              </w:rPr>
              <w:fldChar w:fldCharType="separate"/>
            </w:r>
            <w:r>
              <w:rPr>
                <w:bCs/>
                <w:color w:val="000000"/>
                <w:sz w:val="18"/>
              </w:rPr>
              <w:t>Codebook size reduction can be achieved if only HARQ disabled processes and SPS PDSCHs are scheduled in MA,c occasions.</w:t>
            </w:r>
            <w:r>
              <w:rPr>
                <w:rFonts w:eastAsia="MS Mincho"/>
                <w:bCs/>
                <w:kern w:val="2"/>
                <w:sz w:val="18"/>
              </w:rPr>
              <w:fldChar w:fldCharType="end"/>
            </w:r>
          </w:p>
          <w:p w14:paraId="5DFCC9D5"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_Ref86434677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6</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_Ref86434677 \h  \* MERGEFORMAT </w:instrText>
            </w:r>
            <w:r>
              <w:rPr>
                <w:rFonts w:eastAsia="MS Mincho"/>
                <w:bCs/>
                <w:kern w:val="2"/>
                <w:sz w:val="18"/>
              </w:rPr>
            </w:r>
            <w:r>
              <w:rPr>
                <w:rFonts w:eastAsia="MS Mincho"/>
                <w:bCs/>
                <w:kern w:val="2"/>
                <w:sz w:val="18"/>
              </w:rPr>
              <w:fldChar w:fldCharType="separate"/>
            </w:r>
            <w:r>
              <w:rPr>
                <w:bCs/>
                <w:sz w:val="18"/>
                <w:lang w:eastAsia="ko-KR"/>
              </w:rPr>
              <w:t>Indication/configuration of aggregation factor/repetition factor is DCI-based.</w:t>
            </w:r>
            <w:r>
              <w:rPr>
                <w:rFonts w:eastAsia="MS Mincho"/>
                <w:bCs/>
                <w:kern w:val="2"/>
                <w:sz w:val="18"/>
              </w:rPr>
              <w:fldChar w:fldCharType="end"/>
            </w:r>
          </w:p>
          <w:p w14:paraId="45D7D72E"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_Ref86434685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7</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_Ref86434685 \h  \* MERGEFORMAT </w:instrText>
            </w:r>
            <w:r>
              <w:rPr>
                <w:rFonts w:eastAsia="MS Mincho"/>
                <w:bCs/>
                <w:kern w:val="2"/>
                <w:sz w:val="18"/>
              </w:rPr>
            </w:r>
            <w:r>
              <w:rPr>
                <w:rFonts w:eastAsia="MS Mincho"/>
                <w:bCs/>
                <w:kern w:val="2"/>
                <w:sz w:val="18"/>
              </w:rPr>
              <w:fldChar w:fldCharType="separate"/>
            </w:r>
            <w:r>
              <w:rPr>
                <w:bCs/>
                <w:sz w:val="18"/>
                <w:lang w:eastAsia="ko-KR"/>
              </w:rPr>
              <w:t>Consider extension/modification of TDRA field to indicate number of repetitions to a UE.</w:t>
            </w:r>
            <w:r>
              <w:rPr>
                <w:rFonts w:eastAsia="MS Mincho"/>
                <w:bCs/>
                <w:kern w:val="2"/>
                <w:sz w:val="18"/>
              </w:rPr>
              <w:fldChar w:fldCharType="end"/>
            </w:r>
          </w:p>
          <w:p w14:paraId="0466E1A5" w14:textId="77777777" w:rsidR="00AA4AC8" w:rsidRDefault="0082369C">
            <w:pPr>
              <w:widowControl w:val="0"/>
              <w:snapToGrid w:val="0"/>
              <w:spacing w:after="0"/>
              <w:rPr>
                <w:rFonts w:eastAsia="MS Mincho"/>
                <w:bCs/>
                <w:kern w:val="2"/>
                <w:sz w:val="18"/>
              </w:rPr>
            </w:pPr>
            <w:r>
              <w:rPr>
                <w:rFonts w:eastAsia="MS Mincho"/>
                <w:bCs/>
                <w:kern w:val="2"/>
                <w:sz w:val="18"/>
              </w:rPr>
              <w:fldChar w:fldCharType="begin"/>
            </w:r>
            <w:r>
              <w:rPr>
                <w:rFonts w:eastAsia="MS Mincho"/>
                <w:bCs/>
                <w:kern w:val="2"/>
                <w:sz w:val="18"/>
              </w:rPr>
              <w:instrText xml:space="preserve"> REF _Ref86434700 \w \h  \* MERGEFORMAT </w:instrText>
            </w:r>
            <w:r>
              <w:rPr>
                <w:rFonts w:eastAsia="MS Mincho"/>
                <w:bCs/>
                <w:kern w:val="2"/>
                <w:sz w:val="18"/>
              </w:rPr>
            </w:r>
            <w:r>
              <w:rPr>
                <w:rFonts w:eastAsia="MS Mincho"/>
                <w:bCs/>
                <w:kern w:val="2"/>
                <w:sz w:val="18"/>
              </w:rPr>
              <w:fldChar w:fldCharType="separate"/>
            </w:r>
            <w:r>
              <w:rPr>
                <w:rFonts w:eastAsia="MS Mincho"/>
                <w:bCs/>
                <w:kern w:val="2"/>
                <w:sz w:val="18"/>
              </w:rPr>
              <w:t>Proposal 8</w:t>
            </w:r>
            <w:r>
              <w:rPr>
                <w:rFonts w:eastAsia="MS Mincho"/>
                <w:bCs/>
                <w:kern w:val="2"/>
                <w:sz w:val="18"/>
              </w:rPr>
              <w:fldChar w:fldCharType="end"/>
            </w:r>
            <w:r>
              <w:rPr>
                <w:rFonts w:eastAsia="MS Mincho"/>
                <w:bCs/>
                <w:kern w:val="2"/>
                <w:sz w:val="18"/>
              </w:rPr>
              <w:t xml:space="preserve">. </w:t>
            </w:r>
            <w:r>
              <w:rPr>
                <w:rFonts w:eastAsia="MS Mincho"/>
                <w:bCs/>
                <w:kern w:val="2"/>
                <w:sz w:val="18"/>
              </w:rPr>
              <w:fldChar w:fldCharType="begin"/>
            </w:r>
            <w:r>
              <w:rPr>
                <w:rFonts w:eastAsia="MS Mincho"/>
                <w:bCs/>
                <w:kern w:val="2"/>
                <w:sz w:val="18"/>
              </w:rPr>
              <w:instrText xml:space="preserve"> REF _Ref86434700 \h  \* MERGEFORMAT </w:instrText>
            </w:r>
            <w:r>
              <w:rPr>
                <w:rFonts w:eastAsia="MS Mincho"/>
                <w:bCs/>
                <w:kern w:val="2"/>
                <w:sz w:val="18"/>
              </w:rPr>
            </w:r>
            <w:r>
              <w:rPr>
                <w:rFonts w:eastAsia="MS Mincho"/>
                <w:bCs/>
                <w:kern w:val="2"/>
                <w:sz w:val="18"/>
              </w:rPr>
              <w:fldChar w:fldCharType="separate"/>
            </w:r>
            <w:r>
              <w:rPr>
                <w:bCs/>
                <w:sz w:val="18"/>
                <w:lang w:eastAsia="ko-KR"/>
              </w:rPr>
              <w:t>Whether to use HARQ enabled or disabled process for the transmission of MAC CE is left up to gNB implementation.</w:t>
            </w:r>
            <w:r>
              <w:rPr>
                <w:rFonts w:eastAsia="MS Mincho"/>
                <w:bCs/>
                <w:kern w:val="2"/>
                <w:sz w:val="18"/>
              </w:rPr>
              <w:fldChar w:fldCharType="end"/>
            </w:r>
          </w:p>
          <w:p w14:paraId="79EB39ED" w14:textId="77777777" w:rsidR="00AA4AC8" w:rsidRDefault="00AA4AC8">
            <w:pPr>
              <w:widowControl w:val="0"/>
              <w:snapToGrid w:val="0"/>
              <w:spacing w:after="0"/>
              <w:rPr>
                <w:sz w:val="18"/>
              </w:rPr>
            </w:pPr>
          </w:p>
        </w:tc>
      </w:tr>
      <w:tr w:rsidR="00AA4AC8" w14:paraId="1C97336B" w14:textId="77777777">
        <w:trPr>
          <w:trHeight w:val="398"/>
          <w:jc w:val="center"/>
        </w:trPr>
        <w:tc>
          <w:tcPr>
            <w:tcW w:w="1883" w:type="dxa"/>
            <w:shd w:val="clear" w:color="auto" w:fill="auto"/>
            <w:vAlign w:val="center"/>
          </w:tcPr>
          <w:p w14:paraId="158E7955" w14:textId="77777777" w:rsidR="00AA4AC8" w:rsidRDefault="0082369C">
            <w:pPr>
              <w:snapToGrid w:val="0"/>
              <w:spacing w:after="0"/>
              <w:jc w:val="center"/>
              <w:rPr>
                <w:sz w:val="18"/>
              </w:rPr>
            </w:pPr>
            <w:r>
              <w:rPr>
                <w:rFonts w:eastAsia="MS Mincho"/>
                <w:sz w:val="18"/>
              </w:rPr>
              <w:lastRenderedPageBreak/>
              <w:t>R1-21</w:t>
            </w:r>
            <w:r>
              <w:rPr>
                <w:rFonts w:eastAsiaTheme="minorEastAsia"/>
                <w:sz w:val="18"/>
              </w:rPr>
              <w:t>11254 CATT</w:t>
            </w:r>
          </w:p>
        </w:tc>
        <w:tc>
          <w:tcPr>
            <w:tcW w:w="8744" w:type="dxa"/>
            <w:vAlign w:val="center"/>
          </w:tcPr>
          <w:p w14:paraId="15D16189"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32 processes can be supported based on UE capability.</w:t>
            </w:r>
          </w:p>
          <w:p w14:paraId="1C978C54" w14:textId="77777777" w:rsidR="00AA4AC8" w:rsidRDefault="0082369C">
            <w:pPr>
              <w:pStyle w:val="afc"/>
              <w:numPr>
                <w:ilvl w:val="0"/>
                <w:numId w:val="31"/>
              </w:numPr>
              <w:autoSpaceDE w:val="0"/>
              <w:autoSpaceDN w:val="0"/>
              <w:adjustRightInd w:val="0"/>
              <w:snapToGrid w:val="0"/>
              <w:rPr>
                <w:rFonts w:ascii="Times New Roman" w:hAnsi="Times New Roman"/>
                <w:sz w:val="18"/>
                <w:szCs w:val="20"/>
              </w:rPr>
            </w:pPr>
            <w:r>
              <w:rPr>
                <w:rFonts w:ascii="Times New Roman" w:hAnsi="Times New Roman"/>
                <w:sz w:val="18"/>
                <w:szCs w:val="20"/>
              </w:rPr>
              <w:t xml:space="preserve">For Type-1 HARQ codebook in NTN, The UE will report NACK/ACK depending on the decoding results of corresponding PDSCH Regardless of the feedback-disabled or feedback-enabled HARQ process. </w:t>
            </w:r>
          </w:p>
          <w:p w14:paraId="7CEF37E5"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bookmarkStart w:id="12" w:name="OLE_LINK14"/>
            <w:bookmarkStart w:id="13" w:name="OLE_LINK13"/>
            <w:r>
              <w:rPr>
                <w:rFonts w:ascii="Times New Roman" w:hAnsi="Times New Roman"/>
                <w:sz w:val="18"/>
                <w:szCs w:val="20"/>
              </w:rPr>
              <w:t>Type-2 HARQ-ACK codebook can be optimized, and the C-DAI and T-DAI are the count of feedback-enabled processes, despite they are not incremented for feedback-disabled process.</w:t>
            </w:r>
          </w:p>
          <w:bookmarkEnd w:id="12"/>
          <w:bookmarkEnd w:id="13"/>
          <w:p w14:paraId="0040540A"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 xml:space="preserve">For SPS PDSCH reception transmission, the feedback for the HARQ process associated to SPS PDSCH reception transmission can be disabled per SPS configuration. </w:t>
            </w:r>
          </w:p>
          <w:p w14:paraId="3EE4C33F" w14:textId="77777777" w:rsidR="00AA4AC8" w:rsidRDefault="0082369C">
            <w:pPr>
              <w:pStyle w:val="afc"/>
              <w:numPr>
                <w:ilvl w:val="0"/>
                <w:numId w:val="31"/>
              </w:numPr>
              <w:autoSpaceDE w:val="0"/>
              <w:autoSpaceDN w:val="0"/>
              <w:adjustRightInd w:val="0"/>
              <w:snapToGrid w:val="0"/>
              <w:ind w:left="927" w:hangingChars="515" w:hanging="927"/>
              <w:rPr>
                <w:rFonts w:ascii="Times New Roman" w:hAnsi="Times New Roman"/>
                <w:sz w:val="18"/>
                <w:szCs w:val="20"/>
              </w:rPr>
            </w:pPr>
            <w:r>
              <w:rPr>
                <w:rFonts w:ascii="Times New Roman" w:hAnsi="Times New Roman"/>
                <w:sz w:val="18"/>
                <w:szCs w:val="20"/>
              </w:rPr>
              <w:t xml:space="preserve"> ACK/NACK is reported by UE for DCI indicating SPS PDSCH activation when the feedback      for the HARQ process associated to SPS PDSCH reception transmission is disabled.</w:t>
            </w:r>
          </w:p>
          <w:p w14:paraId="692329E4"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Type-3 HARQ-ACK codebook is not needed in NTN case.</w:t>
            </w:r>
          </w:p>
          <w:p w14:paraId="050B0E89"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The OOO legacy restriction is applied when feedback-disabled is configured.</w:t>
            </w:r>
          </w:p>
          <w:p w14:paraId="1439572B"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The HARQ-ACK feedback should be true HARQ-ACK in case that HARQ-ACK feedback is reported for feedback-disabled HARQ process.</w:t>
            </w:r>
          </w:p>
          <w:p w14:paraId="76D1C557"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 xml:space="preserve">UE expects that at least one HARQ process with feedback is configured for the scheduling of MAC-CE. </w:t>
            </w:r>
          </w:p>
          <w:p w14:paraId="688C87B3"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Slot aggregation factor can be extended to 16 for very low SINR case.</w:t>
            </w:r>
          </w:p>
          <w:p w14:paraId="723EC9D9" w14:textId="77777777" w:rsidR="00AA4AC8" w:rsidRDefault="0082369C">
            <w:pPr>
              <w:pStyle w:val="afc"/>
              <w:numPr>
                <w:ilvl w:val="0"/>
                <w:numId w:val="31"/>
              </w:numPr>
              <w:autoSpaceDE w:val="0"/>
              <w:autoSpaceDN w:val="0"/>
              <w:adjustRightInd w:val="0"/>
              <w:snapToGrid w:val="0"/>
              <w:jc w:val="both"/>
              <w:rPr>
                <w:rFonts w:ascii="Times New Roman" w:hAnsi="Times New Roman"/>
                <w:sz w:val="18"/>
                <w:szCs w:val="20"/>
              </w:rPr>
            </w:pPr>
            <w:r>
              <w:rPr>
                <w:rFonts w:ascii="Times New Roman" w:hAnsi="Times New Roman"/>
                <w:sz w:val="18"/>
                <w:szCs w:val="20"/>
              </w:rPr>
              <w:t>Support time interleaved slot aggregation to improve transmission reliability.</w:t>
            </w:r>
          </w:p>
          <w:p w14:paraId="6DD27248" w14:textId="77777777" w:rsidR="00AA4AC8" w:rsidRDefault="0082369C">
            <w:pPr>
              <w:pStyle w:val="afc"/>
              <w:numPr>
                <w:ilvl w:val="0"/>
                <w:numId w:val="31"/>
              </w:numPr>
              <w:autoSpaceDE w:val="0"/>
              <w:autoSpaceDN w:val="0"/>
              <w:adjustRightInd w:val="0"/>
              <w:snapToGrid w:val="0"/>
              <w:jc w:val="both"/>
              <w:rPr>
                <w:rFonts w:ascii="Times New Roman" w:hAnsi="Times New Roman"/>
                <w:bCs/>
                <w:sz w:val="18"/>
                <w:szCs w:val="20"/>
              </w:rPr>
            </w:pPr>
            <w:r>
              <w:rPr>
                <w:rFonts w:ascii="Times New Roman" w:hAnsi="Times New Roman"/>
                <w:bCs/>
                <w:sz w:val="18"/>
                <w:szCs w:val="20"/>
              </w:rPr>
              <w:t xml:space="preserve">There is no need for MCS enhancement. </w:t>
            </w:r>
          </w:p>
          <w:p w14:paraId="3D771617" w14:textId="77777777" w:rsidR="00AA4AC8" w:rsidRDefault="00AA4AC8">
            <w:pPr>
              <w:snapToGrid w:val="0"/>
              <w:spacing w:after="0"/>
              <w:rPr>
                <w:color w:val="000000" w:themeColor="text1"/>
                <w:sz w:val="18"/>
              </w:rPr>
            </w:pPr>
          </w:p>
        </w:tc>
      </w:tr>
      <w:tr w:rsidR="00AA4AC8" w14:paraId="7CFC1DE3" w14:textId="77777777">
        <w:trPr>
          <w:trHeight w:val="398"/>
          <w:jc w:val="center"/>
        </w:trPr>
        <w:tc>
          <w:tcPr>
            <w:tcW w:w="1883" w:type="dxa"/>
            <w:shd w:val="clear" w:color="auto" w:fill="auto"/>
            <w:vAlign w:val="center"/>
          </w:tcPr>
          <w:p w14:paraId="6F9C5926" w14:textId="77777777" w:rsidR="00AA4AC8" w:rsidRDefault="0082369C">
            <w:pPr>
              <w:snapToGrid w:val="0"/>
              <w:spacing w:after="0"/>
              <w:jc w:val="center"/>
              <w:rPr>
                <w:sz w:val="18"/>
              </w:rPr>
            </w:pPr>
            <w:r>
              <w:rPr>
                <w:sz w:val="18"/>
              </w:rPr>
              <w:t>R1-2111316 OPPO</w:t>
            </w:r>
          </w:p>
        </w:tc>
        <w:tc>
          <w:tcPr>
            <w:tcW w:w="8744" w:type="dxa"/>
            <w:vAlign w:val="center"/>
          </w:tcPr>
          <w:p w14:paraId="5C14F95E" w14:textId="77777777" w:rsidR="00AA4AC8" w:rsidRDefault="0082369C">
            <w:pPr>
              <w:pStyle w:val="ab"/>
              <w:snapToGrid w:val="0"/>
              <w:spacing w:after="0"/>
              <w:rPr>
                <w:rFonts w:ascii="Times New Roman" w:hAnsi="Times New Roman"/>
                <w:sz w:val="18"/>
                <w:szCs w:val="20"/>
                <w:u w:val="single"/>
              </w:rPr>
            </w:pPr>
            <w:r>
              <w:rPr>
                <w:rFonts w:ascii="Times New Roman" w:hAnsi="Times New Roman"/>
                <w:sz w:val="18"/>
                <w:szCs w:val="20"/>
                <w:u w:val="single"/>
              </w:rPr>
              <w:t>For HARQ disabling configuration and HARQ-ACK codebook generation:</w:t>
            </w:r>
          </w:p>
          <w:p w14:paraId="2BAF8103"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1: Clarify whether the configured disabling HARQ process should apply for all the cases or not. </w:t>
            </w:r>
          </w:p>
          <w:p w14:paraId="06F51F38"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Proposal 2: HARQ enabling/disabling for SPS PDSCH should be configured per SPS configuration.</w:t>
            </w:r>
          </w:p>
          <w:p w14:paraId="04BB53A1"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Proposal 3: For Type-1 HARQ codebook, support Option-2: The UE will report NACK/ACK for the feedback-disabled HARQ process depending on the decoding results of corresponding PDSCH.</w:t>
            </w:r>
          </w:p>
          <w:p w14:paraId="21840861"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4: C-DAI interpretation for type-1 and type-2 HARQ codebook should be unified. </w:t>
            </w:r>
          </w:p>
          <w:p w14:paraId="61423040"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Proposal 5: support Option-1: The C-DAI and T-DAI are the count of feedback-enabled processes, despite they are not incremented, and are taken into account by the UE for type 2 codebook generation.</w:t>
            </w:r>
          </w:p>
          <w:p w14:paraId="4341FE3C"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6: For Type-2 HARQ codebook, DCI for indicating SCell dormancy should be included in counting of C-DAI and T-DAI if supported. </w:t>
            </w:r>
          </w:p>
          <w:p w14:paraId="55C32EB8" w14:textId="77777777" w:rsidR="00AA4AC8" w:rsidRDefault="0082369C">
            <w:pPr>
              <w:pStyle w:val="ab"/>
              <w:snapToGrid w:val="0"/>
              <w:spacing w:after="0"/>
              <w:rPr>
                <w:rFonts w:ascii="Times New Roman" w:eastAsia="等线" w:hAnsi="Times New Roman"/>
                <w:sz w:val="18"/>
                <w:szCs w:val="20"/>
              </w:rPr>
            </w:pPr>
            <w:r>
              <w:rPr>
                <w:rFonts w:ascii="Times New Roman" w:hAnsi="Times New Roman"/>
                <w:sz w:val="18"/>
                <w:szCs w:val="20"/>
              </w:rPr>
              <w:t xml:space="preserve">Proposal 7: Type-3 HARQ codebook is not supported in NR-NTN and do not support type-3 HARQ codebook enhancement.  </w:t>
            </w:r>
          </w:p>
          <w:p w14:paraId="3BE42A67" w14:textId="77777777" w:rsidR="00AA4AC8" w:rsidRDefault="0082369C">
            <w:pPr>
              <w:pStyle w:val="ab"/>
              <w:snapToGrid w:val="0"/>
              <w:spacing w:after="0"/>
              <w:rPr>
                <w:rFonts w:ascii="Times New Roman" w:hAnsi="Times New Roman"/>
                <w:sz w:val="18"/>
                <w:szCs w:val="20"/>
                <w:u w:val="single"/>
              </w:rPr>
            </w:pPr>
            <w:r>
              <w:rPr>
                <w:rFonts w:ascii="Times New Roman" w:hAnsi="Times New Roman"/>
                <w:sz w:val="18"/>
                <w:szCs w:val="20"/>
                <w:u w:val="single"/>
              </w:rPr>
              <w:t>For PDSCH/PUSCH reliability enhancement:</w:t>
            </w:r>
          </w:p>
          <w:p w14:paraId="3B3B77ED"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8: </w:t>
            </w:r>
            <w:r>
              <w:rPr>
                <w:rFonts w:ascii="Times New Roman" w:eastAsia="等线" w:hAnsi="Times New Roman"/>
                <w:sz w:val="18"/>
                <w:szCs w:val="20"/>
              </w:rPr>
              <w:t>Configure different aggregation factors for PDSCH reception with or without HARQ-ACK feedback</w:t>
            </w:r>
            <w:r>
              <w:rPr>
                <w:rFonts w:ascii="Times New Roman" w:hAnsi="Times New Roman"/>
                <w:sz w:val="18"/>
                <w:szCs w:val="20"/>
              </w:rPr>
              <w:t xml:space="preserve">. </w:t>
            </w:r>
          </w:p>
          <w:p w14:paraId="73749603" w14:textId="77777777" w:rsidR="00AA4AC8" w:rsidRDefault="0082369C">
            <w:pPr>
              <w:pStyle w:val="ab"/>
              <w:numPr>
                <w:ilvl w:val="0"/>
                <w:numId w:val="32"/>
              </w:numPr>
              <w:overflowPunct/>
              <w:autoSpaceDE/>
              <w:autoSpaceDN/>
              <w:snapToGrid w:val="0"/>
              <w:spacing w:after="0"/>
              <w:textAlignment w:val="auto"/>
              <w:rPr>
                <w:rFonts w:ascii="Times New Roman" w:eastAsia="等线" w:hAnsi="Times New Roman"/>
                <w:sz w:val="18"/>
                <w:szCs w:val="20"/>
              </w:rPr>
            </w:pPr>
            <w:r>
              <w:rPr>
                <w:rFonts w:ascii="Times New Roman" w:eastAsia="等线" w:hAnsi="Times New Roman"/>
                <w:sz w:val="18"/>
                <w:szCs w:val="20"/>
              </w:rPr>
              <w:t>The maximum number of supported aggregation factor for DL PDSCH is 16.</w:t>
            </w:r>
          </w:p>
          <w:p w14:paraId="5AABE5E7" w14:textId="77777777" w:rsidR="00AA4AC8" w:rsidRDefault="0082369C">
            <w:pPr>
              <w:pStyle w:val="ab"/>
              <w:snapToGrid w:val="0"/>
              <w:spacing w:after="0"/>
              <w:rPr>
                <w:rFonts w:ascii="Times New Roman" w:hAnsi="Times New Roman"/>
                <w:sz w:val="18"/>
                <w:szCs w:val="20"/>
                <w:u w:val="single"/>
              </w:rPr>
            </w:pPr>
            <w:r>
              <w:rPr>
                <w:rFonts w:ascii="Times New Roman" w:hAnsi="Times New Roman"/>
                <w:sz w:val="18"/>
                <w:szCs w:val="20"/>
                <w:u w:val="single"/>
              </w:rPr>
              <w:t>For PUSCH processing timeline:</w:t>
            </w:r>
          </w:p>
          <w:p w14:paraId="0F9FAFA7"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9: PUSCH transmission constraint for a given disabled UL HARQ process should be considered. </w:t>
            </w:r>
          </w:p>
          <w:p w14:paraId="7C22603F"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10: PUSCH processing time should be updated in NTN. </w:t>
            </w:r>
          </w:p>
          <w:p w14:paraId="4DD35522" w14:textId="77777777" w:rsidR="00AA4AC8" w:rsidRDefault="0082369C">
            <w:pPr>
              <w:pStyle w:val="ab"/>
              <w:snapToGrid w:val="0"/>
              <w:spacing w:after="0"/>
              <w:rPr>
                <w:rFonts w:ascii="Times New Roman" w:hAnsi="Times New Roman"/>
                <w:sz w:val="18"/>
                <w:szCs w:val="20"/>
                <w:u w:val="single"/>
              </w:rPr>
            </w:pPr>
            <w:r>
              <w:rPr>
                <w:rFonts w:ascii="Times New Roman" w:hAnsi="Times New Roman"/>
                <w:sz w:val="18"/>
                <w:szCs w:val="20"/>
                <w:u w:val="single"/>
              </w:rPr>
              <w:t>For extension of K1 range:</w:t>
            </w:r>
          </w:p>
          <w:p w14:paraId="3F75EA1E"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 xml:space="preserve">Proposal 11: </w:t>
            </w:r>
            <w:r>
              <w:rPr>
                <w:rFonts w:ascii="Times New Roman" w:eastAsia="等线" w:hAnsi="Times New Roman"/>
                <w:sz w:val="18"/>
                <w:szCs w:val="20"/>
              </w:rPr>
              <w:t>T</w:t>
            </w:r>
            <w:r>
              <w:rPr>
                <w:rFonts w:ascii="Times New Roman" w:hAnsi="Times New Roman"/>
                <w:sz w:val="18"/>
                <w:szCs w:val="20"/>
              </w:rPr>
              <w:t xml:space="preserve">he size of the PDSCH-to-HARQ_feedback timing indicator field in DCI should not be changed. </w:t>
            </w:r>
          </w:p>
          <w:p w14:paraId="29A368E7" w14:textId="77777777" w:rsidR="00AA4AC8" w:rsidRDefault="00AA4AC8">
            <w:pPr>
              <w:pStyle w:val="ab"/>
              <w:snapToGrid w:val="0"/>
              <w:spacing w:after="0"/>
              <w:ind w:leftChars="100" w:left="290" w:hangingChars="50" w:hanging="90"/>
              <w:rPr>
                <w:rFonts w:ascii="Times New Roman" w:hAnsi="Times New Roman"/>
                <w:sz w:val="18"/>
                <w:szCs w:val="20"/>
              </w:rPr>
            </w:pPr>
          </w:p>
        </w:tc>
      </w:tr>
      <w:tr w:rsidR="00AA4AC8" w14:paraId="5EF4A8E4" w14:textId="77777777">
        <w:trPr>
          <w:trHeight w:val="398"/>
          <w:jc w:val="center"/>
        </w:trPr>
        <w:tc>
          <w:tcPr>
            <w:tcW w:w="1883" w:type="dxa"/>
            <w:shd w:val="clear" w:color="auto" w:fill="auto"/>
            <w:vAlign w:val="center"/>
          </w:tcPr>
          <w:p w14:paraId="6F13819A" w14:textId="77777777" w:rsidR="00AA4AC8" w:rsidRDefault="0082369C">
            <w:pPr>
              <w:snapToGrid w:val="0"/>
              <w:spacing w:after="0"/>
              <w:jc w:val="center"/>
              <w:rPr>
                <w:sz w:val="18"/>
              </w:rPr>
            </w:pPr>
            <w:r>
              <w:rPr>
                <w:rFonts w:eastAsia="MS Mincho"/>
                <w:bCs/>
                <w:sz w:val="18"/>
              </w:rPr>
              <w:t>R1-2111372 MTK</w:t>
            </w:r>
          </w:p>
        </w:tc>
        <w:tc>
          <w:tcPr>
            <w:tcW w:w="8744" w:type="dxa"/>
            <w:vAlign w:val="center"/>
          </w:tcPr>
          <w:p w14:paraId="5A5FDFC3" w14:textId="77777777" w:rsidR="00AA4AC8" w:rsidRDefault="0082369C">
            <w:pPr>
              <w:snapToGrid w:val="0"/>
              <w:spacing w:after="0"/>
              <w:rPr>
                <w:sz w:val="18"/>
                <w:u w:val="single"/>
              </w:rPr>
            </w:pPr>
            <w:r>
              <w:rPr>
                <w:sz w:val="18"/>
                <w:u w:val="single"/>
              </w:rPr>
              <w:t>Enhanced HARQ process ID indication:</w:t>
            </w:r>
          </w:p>
          <w:p w14:paraId="2B182E8F" w14:textId="77777777" w:rsidR="00AA4AC8" w:rsidRDefault="0082369C">
            <w:pPr>
              <w:snapToGrid w:val="0"/>
              <w:spacing w:after="0"/>
              <w:rPr>
                <w:sz w:val="18"/>
                <w:lang w:eastAsia="ko-KR"/>
              </w:rPr>
            </w:pPr>
            <w:r>
              <w:rPr>
                <w:sz w:val="18"/>
                <w:lang w:eastAsia="ko-KR"/>
              </w:rPr>
              <w:t>Observation 1: The UE should not be mandated to support feature with maximum number of HARQ processes to avoid significant impact on complexity un-necessarily since high peak data rates can be achieved by disabling HARQ feedback for HARQ processes.</w:t>
            </w:r>
          </w:p>
          <w:p w14:paraId="59BEDAF2" w14:textId="77777777" w:rsidR="00AA4AC8" w:rsidRDefault="0082369C">
            <w:pPr>
              <w:pStyle w:val="ab"/>
              <w:snapToGrid w:val="0"/>
              <w:spacing w:after="0"/>
              <w:rPr>
                <w:rFonts w:ascii="Times New Roman" w:hAnsi="Times New Roman"/>
                <w:sz w:val="18"/>
                <w:szCs w:val="20"/>
                <w:lang w:eastAsia="ko-KR"/>
              </w:rPr>
            </w:pPr>
            <w:r>
              <w:rPr>
                <w:rFonts w:ascii="Times New Roman" w:hAnsi="Times New Roman"/>
                <w:sz w:val="18"/>
                <w:szCs w:val="20"/>
                <w:lang w:eastAsia="ko-KR"/>
              </w:rPr>
              <w:t xml:space="preserve">Proposal 1: In NR NTN, support on greater than 16 HARQ processes in UL and DL is a UE capability. </w:t>
            </w:r>
          </w:p>
          <w:p w14:paraId="09E25C32" w14:textId="77777777" w:rsidR="00AA4AC8" w:rsidRDefault="0082369C">
            <w:pPr>
              <w:snapToGrid w:val="0"/>
              <w:spacing w:after="0"/>
              <w:rPr>
                <w:sz w:val="18"/>
                <w:u w:val="single"/>
              </w:rPr>
            </w:pPr>
            <w:r>
              <w:rPr>
                <w:sz w:val="18"/>
                <w:u w:val="single"/>
              </w:rPr>
              <w:t>Performance enhancement:</w:t>
            </w:r>
          </w:p>
          <w:p w14:paraId="4BF79B51" w14:textId="77777777" w:rsidR="00AA4AC8" w:rsidRDefault="0082369C">
            <w:pPr>
              <w:snapToGrid w:val="0"/>
              <w:spacing w:after="0"/>
              <w:rPr>
                <w:sz w:val="18"/>
                <w:lang w:eastAsia="ko-KR"/>
              </w:rPr>
            </w:pPr>
            <w:r>
              <w:rPr>
                <w:sz w:val="18"/>
                <w:lang w:eastAsia="ko-KR"/>
              </w:rPr>
              <w:t xml:space="preserve">Observation 2: There is no need for the [Note: This UE feature group is applicable only for NR NTN cell, for terrestrial cell this feature is not supported] in the summary of UE features. It is sufficient to indicate that this UE feature is for NR NTN. </w:t>
            </w:r>
          </w:p>
          <w:p w14:paraId="750E5242" w14:textId="77777777" w:rsidR="00AA4AC8" w:rsidRDefault="0082369C">
            <w:pPr>
              <w:snapToGrid w:val="0"/>
              <w:spacing w:after="0"/>
              <w:rPr>
                <w:sz w:val="18"/>
                <w:lang w:eastAsia="ko-KR"/>
              </w:rPr>
            </w:pPr>
            <w:r>
              <w:rPr>
                <w:sz w:val="18"/>
                <w:lang w:eastAsia="ko-KR"/>
              </w:rPr>
              <w:t>Observation 3: A value of pdsch-AggregationFactor  of  X =16 can allow UE operations consistent with the link budget for DL in TR 38.821 Table 6.1.3.3-1: Link budgets results for all cases in Table 6.1.1.1-9: List of calibration study cases.</w:t>
            </w:r>
          </w:p>
          <w:p w14:paraId="41769407" w14:textId="77777777" w:rsidR="00AA4AC8" w:rsidRDefault="0082369C">
            <w:pPr>
              <w:pStyle w:val="ab"/>
              <w:snapToGrid w:val="0"/>
              <w:spacing w:after="0"/>
              <w:rPr>
                <w:rFonts w:ascii="Times New Roman" w:hAnsi="Times New Roman"/>
                <w:sz w:val="18"/>
                <w:szCs w:val="20"/>
                <w:lang w:eastAsia="ko-KR"/>
              </w:rPr>
            </w:pPr>
            <w:r>
              <w:rPr>
                <w:rFonts w:ascii="Times New Roman" w:hAnsi="Times New Roman"/>
                <w:sz w:val="18"/>
                <w:szCs w:val="20"/>
                <w:lang w:eastAsia="ko-KR"/>
              </w:rPr>
              <w:lastRenderedPageBreak/>
              <w:t xml:space="preserve"> Proposal 2: </w:t>
            </w:r>
            <w:r>
              <w:rPr>
                <w:rFonts w:ascii="Times New Roman" w:hAnsi="Times New Roman"/>
                <w:sz w:val="18"/>
                <w:szCs w:val="20"/>
                <w:u w:val="single"/>
                <w:lang w:eastAsia="ko-KR"/>
              </w:rPr>
              <w:t>In NR NTN</w:t>
            </w:r>
            <w:r>
              <w:rPr>
                <w:rFonts w:ascii="Times New Roman" w:hAnsi="Times New Roman"/>
                <w:sz w:val="18"/>
                <w:szCs w:val="20"/>
                <w:lang w:eastAsia="ko-KR"/>
              </w:rPr>
              <w:t xml:space="preserve">, the maximum number of supported aggregation factor (i.e., pdsch-AggregationFactor) for DL PDSCH is X=16. </w:t>
            </w:r>
          </w:p>
          <w:p w14:paraId="7D19B9AA" w14:textId="77777777" w:rsidR="00AA4AC8" w:rsidRDefault="00AA4AC8">
            <w:pPr>
              <w:snapToGrid w:val="0"/>
              <w:spacing w:after="0"/>
              <w:rPr>
                <w:bCs/>
                <w:sz w:val="18"/>
              </w:rPr>
            </w:pPr>
          </w:p>
        </w:tc>
      </w:tr>
      <w:tr w:rsidR="00AA4AC8" w14:paraId="40683CAF" w14:textId="77777777">
        <w:trPr>
          <w:trHeight w:val="398"/>
          <w:jc w:val="center"/>
        </w:trPr>
        <w:tc>
          <w:tcPr>
            <w:tcW w:w="1883" w:type="dxa"/>
            <w:shd w:val="clear" w:color="auto" w:fill="auto"/>
            <w:vAlign w:val="center"/>
          </w:tcPr>
          <w:p w14:paraId="6B000FA9" w14:textId="77777777" w:rsidR="00AA4AC8" w:rsidRDefault="0082369C">
            <w:pPr>
              <w:snapToGrid w:val="0"/>
              <w:spacing w:after="0"/>
              <w:jc w:val="center"/>
              <w:rPr>
                <w:sz w:val="18"/>
              </w:rPr>
            </w:pPr>
            <w:r>
              <w:rPr>
                <w:bCs/>
                <w:sz w:val="18"/>
              </w:rPr>
              <w:lastRenderedPageBreak/>
              <w:t>R1-21</w:t>
            </w:r>
            <w:r>
              <w:rPr>
                <w:rFonts w:eastAsiaTheme="minorEastAsia"/>
                <w:bCs/>
                <w:sz w:val="18"/>
                <w:lang w:eastAsia="ja-JP"/>
              </w:rPr>
              <w:t>11395 Sony</w:t>
            </w:r>
          </w:p>
        </w:tc>
        <w:tc>
          <w:tcPr>
            <w:tcW w:w="8744" w:type="dxa"/>
            <w:vAlign w:val="center"/>
          </w:tcPr>
          <w:p w14:paraId="7C65C89E" w14:textId="77777777" w:rsidR="00AA4AC8" w:rsidRDefault="0082369C">
            <w:pPr>
              <w:snapToGrid w:val="0"/>
              <w:spacing w:after="0"/>
              <w:jc w:val="both"/>
              <w:rPr>
                <w:kern w:val="2"/>
                <w:sz w:val="18"/>
              </w:rPr>
            </w:pPr>
            <w:r>
              <w:rPr>
                <w:kern w:val="2"/>
                <w:sz w:val="18"/>
              </w:rPr>
              <w:t>Proposal 1: UE expects that any PDSCH carrying a MAC CE command, whose activation/deactivation time is coupled to the transmission time of the associated HARQ-ACK, is scheduled via a HARQ process with HARQ feedback enabled.</w:t>
            </w:r>
          </w:p>
          <w:p w14:paraId="67CE49E9" w14:textId="77777777" w:rsidR="00AA4AC8" w:rsidRDefault="0082369C">
            <w:pPr>
              <w:snapToGrid w:val="0"/>
              <w:spacing w:after="0"/>
              <w:jc w:val="both"/>
              <w:rPr>
                <w:kern w:val="2"/>
                <w:sz w:val="18"/>
              </w:rPr>
            </w:pPr>
            <w:r>
              <w:rPr>
                <w:kern w:val="2"/>
                <w:sz w:val="18"/>
              </w:rPr>
              <w:t>Observation 1:</w:t>
            </w:r>
            <w:r>
              <w:rPr>
                <w:sz w:val="18"/>
              </w:rPr>
              <w:t xml:space="preserve"> When HARQ feedback is disabled for some HARQ processes,</w:t>
            </w:r>
            <w:r>
              <w:rPr>
                <w:kern w:val="2"/>
                <w:sz w:val="18"/>
              </w:rPr>
              <w:t xml:space="preserve"> the redundant feedback bits of Type-1 / semi-static HARQ-ACK codebook would be large based on current HARQ-ACK codebook design</w:t>
            </w:r>
          </w:p>
          <w:p w14:paraId="6FF65ADD" w14:textId="77777777" w:rsidR="00AA4AC8" w:rsidRDefault="0082369C">
            <w:pPr>
              <w:snapToGrid w:val="0"/>
              <w:spacing w:after="0"/>
              <w:jc w:val="both"/>
              <w:rPr>
                <w:bCs/>
                <w:kern w:val="2"/>
                <w:sz w:val="18"/>
              </w:rPr>
            </w:pPr>
            <w:r>
              <w:rPr>
                <w:bCs/>
                <w:kern w:val="2"/>
                <w:sz w:val="18"/>
              </w:rPr>
              <w:t>Proposal 2: HARQ codebook enhancement is supported as:</w:t>
            </w:r>
          </w:p>
          <w:p w14:paraId="5908CDB7" w14:textId="77777777" w:rsidR="00AA4AC8" w:rsidRDefault="0082369C">
            <w:pPr>
              <w:pStyle w:val="afc"/>
              <w:numPr>
                <w:ilvl w:val="0"/>
                <w:numId w:val="33"/>
              </w:numPr>
              <w:adjustRightInd w:val="0"/>
              <w:snapToGrid w:val="0"/>
              <w:jc w:val="both"/>
              <w:rPr>
                <w:rFonts w:ascii="Times New Roman" w:hAnsi="Times New Roman"/>
                <w:bCs/>
                <w:kern w:val="2"/>
                <w:sz w:val="18"/>
                <w:szCs w:val="20"/>
              </w:rPr>
            </w:pPr>
            <w:r>
              <w:rPr>
                <w:rFonts w:ascii="Times New Roman" w:hAnsi="Times New Roman"/>
                <w:bCs/>
                <w:kern w:val="2"/>
                <w:sz w:val="18"/>
                <w:szCs w:val="20"/>
              </w:rPr>
              <w:t xml:space="preserve">For Type-1 HARQ codebook, reduce codebook size with keeping the codebook size semi-static. </w:t>
            </w:r>
          </w:p>
          <w:p w14:paraId="41C8C204" w14:textId="77777777" w:rsidR="00AA4AC8" w:rsidRDefault="0082369C">
            <w:pPr>
              <w:pStyle w:val="afc"/>
              <w:numPr>
                <w:ilvl w:val="1"/>
                <w:numId w:val="33"/>
              </w:numPr>
              <w:adjustRightInd w:val="0"/>
              <w:snapToGrid w:val="0"/>
              <w:jc w:val="both"/>
              <w:rPr>
                <w:rFonts w:ascii="Times New Roman" w:hAnsi="Times New Roman"/>
                <w:bCs/>
                <w:kern w:val="2"/>
                <w:sz w:val="18"/>
                <w:szCs w:val="20"/>
              </w:rPr>
            </w:pPr>
            <w:r>
              <w:rPr>
                <w:rFonts w:ascii="Times New Roman" w:hAnsi="Times New Roman"/>
                <w:bCs/>
                <w:kern w:val="2"/>
                <w:sz w:val="18"/>
                <w:szCs w:val="20"/>
              </w:rPr>
              <w:t>When all HARQ processes are feedback disabled for one secondary cell, the UE does not reserve HARQ ACK/NACK bits for that secondary cell.</w:t>
            </w:r>
          </w:p>
          <w:p w14:paraId="4DC7F9CE" w14:textId="77777777" w:rsidR="00AA4AC8" w:rsidRDefault="0082369C">
            <w:pPr>
              <w:pStyle w:val="afc"/>
              <w:numPr>
                <w:ilvl w:val="1"/>
                <w:numId w:val="33"/>
              </w:numPr>
              <w:adjustRightInd w:val="0"/>
              <w:snapToGrid w:val="0"/>
              <w:jc w:val="both"/>
              <w:rPr>
                <w:rFonts w:ascii="Times New Roman" w:hAnsi="Times New Roman"/>
                <w:bCs/>
                <w:kern w:val="2"/>
                <w:sz w:val="18"/>
                <w:szCs w:val="20"/>
              </w:rPr>
            </w:pPr>
            <w:r>
              <w:rPr>
                <w:rFonts w:ascii="Times New Roman" w:hAnsi="Times New Roman"/>
                <w:bCs/>
                <w:kern w:val="2"/>
                <w:sz w:val="18"/>
                <w:szCs w:val="20"/>
              </w:rPr>
              <w:t>Reduce the Type-1 HARQ codebook size by restricting the scheduling occasion, e.g., restricted TDRA table of feedback enabled HARQ process.</w:t>
            </w:r>
          </w:p>
          <w:p w14:paraId="0BC73253" w14:textId="77777777" w:rsidR="00AA4AC8" w:rsidRDefault="0082369C">
            <w:pPr>
              <w:pStyle w:val="afc"/>
              <w:numPr>
                <w:ilvl w:val="0"/>
                <w:numId w:val="33"/>
              </w:numPr>
              <w:adjustRightInd w:val="0"/>
              <w:snapToGrid w:val="0"/>
              <w:jc w:val="both"/>
              <w:rPr>
                <w:rFonts w:ascii="Times New Roman" w:hAnsi="Times New Roman"/>
                <w:bCs/>
                <w:kern w:val="2"/>
                <w:sz w:val="18"/>
                <w:szCs w:val="20"/>
              </w:rPr>
            </w:pPr>
            <w:r>
              <w:rPr>
                <w:rFonts w:ascii="Times New Roman" w:hAnsi="Times New Roman"/>
                <w:bCs/>
                <w:kern w:val="2"/>
                <w:sz w:val="18"/>
                <w:szCs w:val="20"/>
              </w:rPr>
              <w:t>For Type-2 HARQ codebook, the value of the counter/total DAI field in the DCI of PDSCH with feedback-disabled HARQ process are given the count value of {serving cell, PDCCH monitoring occasion}-pair(s) whose associated PDSCH is HARQ feedback enabled.</w:t>
            </w:r>
          </w:p>
          <w:p w14:paraId="73E24F80" w14:textId="77777777" w:rsidR="00AA4AC8" w:rsidRDefault="0082369C">
            <w:pPr>
              <w:snapToGrid w:val="0"/>
              <w:spacing w:after="0"/>
              <w:jc w:val="both"/>
              <w:rPr>
                <w:bCs/>
                <w:kern w:val="2"/>
                <w:sz w:val="18"/>
              </w:rPr>
            </w:pPr>
            <w:r>
              <w:rPr>
                <w:bCs/>
                <w:kern w:val="2"/>
                <w:sz w:val="18"/>
              </w:rPr>
              <w:t xml:space="preserve">Proposal 3: Support UE reporting HARQ feedback information for the SPS PDSCH activation when the related SPS PDSCH is HARQ feedback disabled. </w:t>
            </w:r>
          </w:p>
          <w:p w14:paraId="4C10C7ED" w14:textId="77777777" w:rsidR="00AA4AC8" w:rsidRDefault="0082369C">
            <w:pPr>
              <w:snapToGrid w:val="0"/>
              <w:spacing w:after="0"/>
              <w:jc w:val="both"/>
              <w:rPr>
                <w:bCs/>
                <w:kern w:val="2"/>
                <w:sz w:val="18"/>
              </w:rPr>
            </w:pPr>
            <w:r>
              <w:rPr>
                <w:bCs/>
                <w:kern w:val="2"/>
                <w:sz w:val="18"/>
              </w:rPr>
              <w:t>Proposal 4: The counter DAI, total DAI and DAI in DCI format 0_1 should count for PDCCH indicating SPS PDSCH activation when the related SPS PDSCH is HARQ feedback disabled.</w:t>
            </w:r>
          </w:p>
          <w:p w14:paraId="3AD2B4A0" w14:textId="77777777" w:rsidR="00AA4AC8" w:rsidRDefault="0082369C">
            <w:pPr>
              <w:snapToGrid w:val="0"/>
              <w:spacing w:after="0"/>
              <w:rPr>
                <w:sz w:val="18"/>
              </w:rPr>
            </w:pPr>
            <w:r>
              <w:rPr>
                <w:bCs/>
                <w:kern w:val="2"/>
                <w:sz w:val="18"/>
              </w:rPr>
              <w:t>Proposal 5: The counter DAI, total DAI and DAI in DCI format 0_1 should always count for PDCCH indicating SPS PDSCH release whether the related SPS PDSCH is HARQ feedback disabled or enabled.</w:t>
            </w:r>
          </w:p>
        </w:tc>
      </w:tr>
      <w:tr w:rsidR="00AA4AC8" w14:paraId="555B035A" w14:textId="77777777">
        <w:trPr>
          <w:trHeight w:val="398"/>
          <w:jc w:val="center"/>
        </w:trPr>
        <w:tc>
          <w:tcPr>
            <w:tcW w:w="1883" w:type="dxa"/>
            <w:shd w:val="clear" w:color="auto" w:fill="auto"/>
            <w:vAlign w:val="center"/>
          </w:tcPr>
          <w:p w14:paraId="79ECE840" w14:textId="77777777" w:rsidR="00AA4AC8" w:rsidRDefault="0082369C">
            <w:pPr>
              <w:snapToGrid w:val="0"/>
              <w:spacing w:after="0"/>
              <w:jc w:val="center"/>
              <w:rPr>
                <w:sz w:val="18"/>
              </w:rPr>
            </w:pPr>
            <w:r>
              <w:rPr>
                <w:sz w:val="18"/>
              </w:rPr>
              <w:t>R1-2111415</w:t>
            </w:r>
          </w:p>
          <w:p w14:paraId="1096E7EC" w14:textId="77777777" w:rsidR="00AA4AC8" w:rsidRDefault="0082369C">
            <w:pPr>
              <w:snapToGrid w:val="0"/>
              <w:spacing w:after="0"/>
              <w:jc w:val="center"/>
              <w:rPr>
                <w:sz w:val="18"/>
              </w:rPr>
            </w:pPr>
            <w:r>
              <w:rPr>
                <w:sz w:val="18"/>
              </w:rPr>
              <w:t>Ericsson</w:t>
            </w:r>
          </w:p>
        </w:tc>
        <w:tc>
          <w:tcPr>
            <w:tcW w:w="8744" w:type="dxa"/>
            <w:vAlign w:val="center"/>
          </w:tcPr>
          <w:p w14:paraId="084C0834" w14:textId="77777777" w:rsidR="00AA4AC8" w:rsidRDefault="0082369C">
            <w:pPr>
              <w:pStyle w:val="af1"/>
              <w:tabs>
                <w:tab w:val="right" w:leader="dot" w:pos="9629"/>
              </w:tabs>
              <w:adjustRightInd w:val="0"/>
              <w:snapToGrid w:val="0"/>
              <w:spacing w:after="0"/>
              <w:rPr>
                <w:rFonts w:ascii="Times New Roman" w:hAnsi="Times New Roman" w:cs="Times New Roman"/>
                <w:b w:val="0"/>
                <w:sz w:val="18"/>
                <w:szCs w:val="20"/>
                <w:lang w:eastAsia="sv-SE"/>
              </w:rPr>
            </w:pPr>
            <w:r>
              <w:rPr>
                <w:rFonts w:ascii="Times New Roman" w:hAnsi="Times New Roman" w:cs="Times New Roman"/>
                <w:b w:val="0"/>
                <w:bCs/>
                <w:sz w:val="18"/>
                <w:szCs w:val="20"/>
              </w:rPr>
              <w:fldChar w:fldCharType="begin"/>
            </w:r>
            <w:r>
              <w:rPr>
                <w:rFonts w:ascii="Times New Roman" w:hAnsi="Times New Roman" w:cs="Times New Roman"/>
                <w:b w:val="0"/>
                <w:bCs/>
                <w:sz w:val="18"/>
                <w:szCs w:val="20"/>
              </w:rPr>
              <w:instrText xml:space="preserve"> TOC \f O \n \h \z \t "Observation" \c </w:instrText>
            </w:r>
            <w:r>
              <w:rPr>
                <w:rFonts w:ascii="Times New Roman" w:hAnsi="Times New Roman" w:cs="Times New Roman"/>
                <w:b w:val="0"/>
                <w:bCs/>
                <w:sz w:val="18"/>
                <w:szCs w:val="20"/>
              </w:rPr>
              <w:fldChar w:fldCharType="separate"/>
            </w:r>
            <w:hyperlink w:anchor="_Toc87031479" w:history="1">
              <w:r>
                <w:rPr>
                  <w:rStyle w:val="af9"/>
                  <w:rFonts w:ascii="Times New Roman" w:hAnsi="Times New Roman" w:cs="Times New Roman"/>
                  <w:b w:val="0"/>
                  <w:sz w:val="18"/>
                  <w:szCs w:val="20"/>
                </w:rPr>
                <w:t>Observation 1</w:t>
              </w:r>
              <w:r>
                <w:rPr>
                  <w:rFonts w:ascii="Times New Roman" w:hAnsi="Times New Roman" w:cs="Times New Roman"/>
                  <w:b w:val="0"/>
                  <w:sz w:val="18"/>
                  <w:szCs w:val="20"/>
                  <w:lang w:eastAsia="sv-SE"/>
                </w:rPr>
                <w:tab/>
              </w:r>
              <w:r>
                <w:rPr>
                  <w:rStyle w:val="af9"/>
                  <w:rFonts w:ascii="Times New Roman" w:hAnsi="Times New Roman" w:cs="Times New Roman"/>
                  <w:b w:val="0"/>
                  <w:sz w:val="18"/>
                  <w:szCs w:val="20"/>
                </w:rPr>
                <w:t>If DCI scheduling feedback-enabled DL HARQ processes is transmitted but no Type-1 HARQ codebook is transmitted by the UE, the network can interpret that as implicit NACK for the feedback-enabled HARQ processes.</w:t>
              </w:r>
            </w:hyperlink>
          </w:p>
          <w:p w14:paraId="67E36098"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0" w:history="1">
              <w:r w:rsidR="0082369C">
                <w:rPr>
                  <w:rStyle w:val="af9"/>
                  <w:rFonts w:ascii="Times New Roman" w:hAnsi="Times New Roman" w:cs="Times New Roman"/>
                  <w:b w:val="0"/>
                  <w:sz w:val="18"/>
                  <w:szCs w:val="20"/>
                </w:rPr>
                <w:t>Observation 2</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RAN1 already agreed that Type-3 HARQ codebook can be applied in licensed spectrum.</w:t>
              </w:r>
            </w:hyperlink>
          </w:p>
          <w:p w14:paraId="18FD9FC8"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1" w:history="1">
              <w:r w:rsidR="0082369C">
                <w:rPr>
                  <w:rStyle w:val="af9"/>
                  <w:rFonts w:ascii="Times New Roman" w:hAnsi="Times New Roman" w:cs="Times New Roman"/>
                  <w:b w:val="0"/>
                  <w:sz w:val="18"/>
                  <w:szCs w:val="20"/>
                </w:rPr>
                <w:t>Observation 3</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NR is a toolbox of features. Each feature should not be limited to a certain use case or deployment and it is up to implementation to use it as fit.</w:t>
              </w:r>
            </w:hyperlink>
          </w:p>
          <w:p w14:paraId="54E77919"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2" w:history="1">
              <w:r w:rsidR="0082369C">
                <w:rPr>
                  <w:rStyle w:val="af9"/>
                  <w:rFonts w:ascii="Times New Roman" w:hAnsi="Times New Roman" w:cs="Times New Roman"/>
                  <w:b w:val="0"/>
                  <w:sz w:val="18"/>
                  <w:szCs w:val="20"/>
                </w:rPr>
                <w:t>Observation 4</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There should not be some artificial restriction that Type-3 HARQ codebook is not applicable to NTN.</w:t>
              </w:r>
            </w:hyperlink>
          </w:p>
          <w:p w14:paraId="4F1D8BD3"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3" w:history="1">
              <w:r w:rsidR="0082369C">
                <w:rPr>
                  <w:rStyle w:val="af9"/>
                  <w:rFonts w:ascii="Times New Roman" w:hAnsi="Times New Roman" w:cs="Times New Roman"/>
                  <w:b w:val="0"/>
                  <w:sz w:val="18"/>
                  <w:szCs w:val="20"/>
                </w:rPr>
                <w:t>Observation 5</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Currently out-of-order HARQ timing restriction is defined for PDSCH scheduling based on the HARQ-ACK feedback in TS 38.214. It is not clear what UE should expect regarding PDSCH scheduling timing when HARQ feedback is disabled. Therefore, it is necessary to discuss the scheduling restriction when HARQ feedback is disabled.</w:t>
              </w:r>
            </w:hyperlink>
          </w:p>
          <w:p w14:paraId="3B89EC07"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4" w:history="1">
              <w:r w:rsidR="0082369C">
                <w:rPr>
                  <w:rStyle w:val="af9"/>
                  <w:rFonts w:ascii="Times New Roman" w:hAnsi="Times New Roman" w:cs="Times New Roman"/>
                  <w:b w:val="0"/>
                  <w:sz w:val="18"/>
                  <w:szCs w:val="20"/>
                </w:rPr>
                <w:t>Observation 6</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Since feedback-enabling/disabling of HARQ processes is configured by the network, the UE must support the case that all HARQ processes are feedback-enabled, i.e., have sufficient soft-buffer for all HARQ processes. Thus, there is no benefit in not using the soft-buffer if HARQ retransmissions are sent for feedback-disabled HARQ processes.</w:t>
              </w:r>
            </w:hyperlink>
          </w:p>
          <w:p w14:paraId="3530A23C"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5" w:history="1">
              <w:r w:rsidR="0082369C">
                <w:rPr>
                  <w:rStyle w:val="af9"/>
                  <w:rFonts w:ascii="Times New Roman" w:hAnsi="Times New Roman" w:cs="Times New Roman"/>
                  <w:b w:val="0"/>
                  <w:sz w:val="18"/>
                  <w:szCs w:val="20"/>
                </w:rPr>
                <w:t>Observation 7</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Even if HARQ feedback is disabled by the network, the HARQ process remains configured and HARQ retransmissions may occur.</w:t>
              </w:r>
            </w:hyperlink>
          </w:p>
          <w:p w14:paraId="25CC9B89"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6" w:history="1">
              <w:r w:rsidR="0082369C">
                <w:rPr>
                  <w:rStyle w:val="af9"/>
                  <w:rFonts w:ascii="Times New Roman" w:hAnsi="Times New Roman" w:cs="Times New Roman"/>
                  <w:b w:val="0"/>
                  <w:sz w:val="18"/>
                  <w:szCs w:val="20"/>
                </w:rPr>
                <w:t>Observation 8</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Increased aggregation factor for PDSCH has not been justified.</w:t>
              </w:r>
            </w:hyperlink>
          </w:p>
          <w:p w14:paraId="3577920A"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fldChar w:fldCharType="end"/>
            </w:r>
          </w:p>
          <w:p w14:paraId="472A571C" w14:textId="77777777" w:rsidR="00AA4AC8" w:rsidRDefault="0082369C">
            <w:pPr>
              <w:pStyle w:val="ab"/>
              <w:snapToGrid w:val="0"/>
              <w:spacing w:after="0"/>
              <w:rPr>
                <w:rFonts w:ascii="Times New Roman" w:hAnsi="Times New Roman"/>
                <w:sz w:val="18"/>
                <w:szCs w:val="20"/>
              </w:rPr>
            </w:pPr>
            <w:r>
              <w:rPr>
                <w:rFonts w:ascii="Times New Roman" w:hAnsi="Times New Roman"/>
                <w:sz w:val="18"/>
                <w:szCs w:val="20"/>
              </w:rPr>
              <w:t>Based on the discussion in the previous sections we propose the following:</w:t>
            </w:r>
          </w:p>
          <w:p w14:paraId="3E5C9FF8" w14:textId="77777777" w:rsidR="00AA4AC8" w:rsidRDefault="0082369C">
            <w:pPr>
              <w:pStyle w:val="af1"/>
              <w:tabs>
                <w:tab w:val="right" w:leader="dot" w:pos="9629"/>
              </w:tabs>
              <w:adjustRightInd w:val="0"/>
              <w:snapToGrid w:val="0"/>
              <w:spacing w:after="0"/>
              <w:rPr>
                <w:rFonts w:ascii="Times New Roman" w:hAnsi="Times New Roman" w:cs="Times New Roman"/>
                <w:b w:val="0"/>
                <w:sz w:val="18"/>
                <w:szCs w:val="20"/>
                <w:lang w:eastAsia="sv-SE"/>
              </w:rPr>
            </w:pPr>
            <w:r>
              <w:rPr>
                <w:rFonts w:ascii="Times New Roman" w:hAnsi="Times New Roman" w:cs="Times New Roman"/>
                <w:b w:val="0"/>
                <w:bCs/>
                <w:sz w:val="18"/>
                <w:szCs w:val="20"/>
              </w:rPr>
              <w:fldChar w:fldCharType="begin"/>
            </w:r>
            <w:r>
              <w:rPr>
                <w:rFonts w:ascii="Times New Roman" w:hAnsi="Times New Roman" w:cs="Times New Roman"/>
                <w:b w:val="0"/>
                <w:bCs/>
                <w:sz w:val="18"/>
                <w:szCs w:val="20"/>
              </w:rPr>
              <w:instrText xml:space="preserve"> TOC \n \h \z \t "Proposal" \c </w:instrText>
            </w:r>
            <w:r>
              <w:rPr>
                <w:rFonts w:ascii="Times New Roman" w:hAnsi="Times New Roman" w:cs="Times New Roman"/>
                <w:b w:val="0"/>
                <w:bCs/>
                <w:sz w:val="18"/>
                <w:szCs w:val="20"/>
              </w:rPr>
              <w:fldChar w:fldCharType="separate"/>
            </w:r>
            <w:hyperlink w:anchor="_Toc87031487" w:history="1">
              <w:r>
                <w:rPr>
                  <w:rStyle w:val="af9"/>
                  <w:rFonts w:ascii="Times New Roman" w:hAnsi="Times New Roman" w:cs="Times New Roman"/>
                  <w:b w:val="0"/>
                  <w:sz w:val="18"/>
                  <w:szCs w:val="20"/>
                </w:rPr>
                <w:t>Proposal 1</w:t>
              </w:r>
              <w:r>
                <w:rPr>
                  <w:rFonts w:ascii="Times New Roman" w:hAnsi="Times New Roman" w:cs="Times New Roman"/>
                  <w:b w:val="0"/>
                  <w:sz w:val="18"/>
                  <w:szCs w:val="20"/>
                  <w:lang w:eastAsia="sv-SE"/>
                </w:rPr>
                <w:tab/>
              </w:r>
              <w:r>
                <w:rPr>
                  <w:rStyle w:val="af9"/>
                  <w:rFonts w:ascii="Times New Roman" w:hAnsi="Times New Roman" w:cs="Times New Roman"/>
                  <w:b w:val="0"/>
                  <w:sz w:val="18"/>
                  <w:szCs w:val="20"/>
                </w:rPr>
                <w:t>RAN1 to discuss what parameters need to be configured differently for HARQ processes with feedback and HARQ processes without feedback. One example parameter is aggregation factor.</w:t>
              </w:r>
            </w:hyperlink>
          </w:p>
          <w:p w14:paraId="0271BBEC"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8" w:history="1">
              <w:r w:rsidR="0082369C">
                <w:rPr>
                  <w:rStyle w:val="af9"/>
                  <w:rFonts w:ascii="Times New Roman" w:hAnsi="Times New Roman" w:cs="Times New Roman"/>
                  <w:b w:val="0"/>
                  <w:sz w:val="18"/>
                  <w:szCs w:val="20"/>
                </w:rPr>
                <w:t>Proposal 2</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In case of Type-1 HARQ codebook, when the UE has not decoded DCI for a feedback-enabled HARQ process in any slot associated with the HARQ codebook, the UE omits sending the HARQ-ACK feedback when it is not multiplexed with other feedback in the same UCI.</w:t>
              </w:r>
            </w:hyperlink>
          </w:p>
          <w:p w14:paraId="60430381"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89" w:history="1">
              <w:r w:rsidR="0082369C">
                <w:rPr>
                  <w:rStyle w:val="af9"/>
                  <w:rFonts w:ascii="Times New Roman" w:hAnsi="Times New Roman" w:cs="Times New Roman"/>
                  <w:b w:val="0"/>
                  <w:sz w:val="18"/>
                  <w:szCs w:val="20"/>
                </w:rPr>
                <w:t>Proposal 3</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In case of Type-1 HARQ codebook, when the UE has decoded DCI for both feedback-enabled and feedback-disabled HARQ process in slots associated with the same HARQ codebook , RAN1 to downselect among the following: 1) the UE inserts NACK in positions corresponding to PDSCHs associated with feedback disabled HARQ processes. 2) the UE inserts ACK or NACK in positions corresponding to PDSCHs associated with feedback disabled HARQ processes, depending on the decoding outcome.</w:t>
              </w:r>
            </w:hyperlink>
          </w:p>
          <w:p w14:paraId="05EA639B"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0" w:history="1">
              <w:r w:rsidR="0082369C">
                <w:rPr>
                  <w:rStyle w:val="af9"/>
                  <w:rFonts w:ascii="Times New Roman" w:hAnsi="Times New Roman" w:cs="Times New Roman"/>
                  <w:b w:val="0"/>
                  <w:sz w:val="18"/>
                  <w:szCs w:val="20"/>
                </w:rPr>
                <w:t>Proposal 4</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 xml:space="preserve">In case of Type-2 HARQ codebook: - When HARQ processes are enabled/disabled on a per HARQ process basis, C-DAI/T-DAI count PDSCH with feedback-enabled HARQ processes. In the DCI, the C-DAI and T-DAI give the count of feedback-enabled HARQ processes regardless of whether a feedback-enabled or feedback-disabled HARQ process is scheduled. - The UE should use the DAI in DCI of feedback-disabled HARQ process to detect if a previous DCI of feedback-enabled HARQ processes has been missed. In such case, the UE </w:t>
              </w:r>
              <w:r w:rsidR="0082369C">
                <w:rPr>
                  <w:rStyle w:val="af9"/>
                  <w:rFonts w:ascii="Times New Roman" w:hAnsi="Times New Roman" w:cs="Times New Roman"/>
                  <w:b w:val="0"/>
                  <w:sz w:val="18"/>
                  <w:szCs w:val="20"/>
                </w:rPr>
                <w:lastRenderedPageBreak/>
                <w:t>should chose the HARQ codebook size based on the DAI in DCI of the feedback-disabled HARQ process, and the feedback-enabled HARQ process detected to be missed should be NACKed.</w:t>
              </w:r>
            </w:hyperlink>
          </w:p>
          <w:p w14:paraId="0BFBDF78"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1" w:history="1">
              <w:r w:rsidR="0082369C">
                <w:rPr>
                  <w:rStyle w:val="af9"/>
                  <w:rFonts w:ascii="Times New Roman" w:hAnsi="Times New Roman" w:cs="Times New Roman"/>
                  <w:b w:val="0"/>
                  <w:sz w:val="18"/>
                  <w:szCs w:val="20"/>
                </w:rPr>
                <w:t>Proposal 5</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In the case of the NR Type-3 HARQ codebook, when HARQ processes are enabled/disabled on a per HARQ process basis, the codebook size is dimensioned to include ACK/NACK information only for HARQ processes that are enabled.</w:t>
              </w:r>
            </w:hyperlink>
          </w:p>
          <w:p w14:paraId="58B8ADDF"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2" w:history="1">
              <w:r w:rsidR="0082369C">
                <w:rPr>
                  <w:rStyle w:val="af9"/>
                  <w:rFonts w:ascii="Times New Roman" w:hAnsi="Times New Roman" w:cs="Times New Roman"/>
                  <w:b w:val="0"/>
                  <w:sz w:val="18"/>
                  <w:szCs w:val="20"/>
                </w:rPr>
                <w:t>Proposal 6</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Regarding the “out-of-order restriction” for transmission of different HARQ processes corresponding to different PDSCHs, RAN1 to down-select between following alternatives: Alt-1: Preserve the same “out-of-order restriction” for (enabled) HARQ processes in specification for the disabled HARQ processes Alt-2: the “out-of-order restriction” for (enabled) HARQ processes does not apply to disabled HARQ processes.</w:t>
              </w:r>
            </w:hyperlink>
          </w:p>
          <w:p w14:paraId="3FF33574"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3" w:history="1">
              <w:r w:rsidR="0082369C">
                <w:rPr>
                  <w:rStyle w:val="af9"/>
                  <w:rFonts w:ascii="Times New Roman" w:hAnsi="Times New Roman" w:cs="Times New Roman"/>
                  <w:b w:val="0"/>
                  <w:sz w:val="18"/>
                  <w:szCs w:val="20"/>
                </w:rPr>
                <w:t>Proposal 7</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For SPS activation, HARQ feedback is not sent if the network has disabled HARQ feedback for the used HARQ process.</w:t>
              </w:r>
            </w:hyperlink>
          </w:p>
          <w:p w14:paraId="70567D20"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4" w:history="1">
              <w:r w:rsidR="0082369C">
                <w:rPr>
                  <w:rStyle w:val="af9"/>
                  <w:rFonts w:ascii="Times New Roman" w:hAnsi="Times New Roman" w:cs="Times New Roman"/>
                  <w:b w:val="0"/>
                  <w:sz w:val="18"/>
                  <w:szCs w:val="20"/>
                </w:rPr>
                <w:t>Proposal 8</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RAN1 should conclude that the configuration of HARQ feedback as enabled or disabled does not impact the UE capability to buffer and combine HARQ retransmissions.</w:t>
              </w:r>
            </w:hyperlink>
          </w:p>
          <w:p w14:paraId="410B3A99"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5" w:history="1">
              <w:r w:rsidR="0082369C">
                <w:rPr>
                  <w:rStyle w:val="af9"/>
                  <w:rFonts w:ascii="Times New Roman" w:hAnsi="Times New Roman" w:cs="Times New Roman"/>
                  <w:b w:val="0"/>
                  <w:sz w:val="18"/>
                  <w:szCs w:val="20"/>
                </w:rPr>
                <w:t>Proposal 9</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Do not increase the aggregation factor for PDSCH.</w:t>
              </w:r>
            </w:hyperlink>
          </w:p>
          <w:p w14:paraId="66D3D0BA"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lang w:eastAsia="sv-SE"/>
              </w:rPr>
            </w:pPr>
            <w:hyperlink w:anchor="_Toc87031496" w:history="1">
              <w:r w:rsidR="0082369C">
                <w:rPr>
                  <w:rStyle w:val="af9"/>
                  <w:rFonts w:ascii="Times New Roman" w:hAnsi="Times New Roman" w:cs="Times New Roman"/>
                  <w:b w:val="0"/>
                  <w:sz w:val="18"/>
                  <w:szCs w:val="20"/>
                </w:rPr>
                <w:t>Proposal 10</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Add RRC parameter nrofHARQ-ProcessesForPUSCH-r17 indicating the number of HARQ processes to be used on the PUSCH of a serving cell if separate UE capabilities are defined for supported number of HARQ processes in UL and DL.</w:t>
              </w:r>
            </w:hyperlink>
          </w:p>
          <w:p w14:paraId="66FB64E8" w14:textId="77777777" w:rsidR="00AA4AC8" w:rsidRDefault="00931197">
            <w:pPr>
              <w:pStyle w:val="af1"/>
              <w:tabs>
                <w:tab w:val="right" w:leader="dot" w:pos="9629"/>
              </w:tabs>
              <w:adjustRightInd w:val="0"/>
              <w:snapToGrid w:val="0"/>
              <w:spacing w:after="0"/>
              <w:rPr>
                <w:rFonts w:ascii="Times New Roman" w:hAnsi="Times New Roman" w:cs="Times New Roman"/>
                <w:b w:val="0"/>
                <w:sz w:val="18"/>
                <w:szCs w:val="20"/>
              </w:rPr>
            </w:pPr>
            <w:hyperlink w:anchor="_Toc87031497" w:history="1">
              <w:r w:rsidR="0082369C">
                <w:rPr>
                  <w:rStyle w:val="af9"/>
                  <w:rFonts w:ascii="Times New Roman" w:hAnsi="Times New Roman" w:cs="Times New Roman"/>
                  <w:b w:val="0"/>
                  <w:sz w:val="18"/>
                  <w:szCs w:val="20"/>
                </w:rPr>
                <w:t>Proposal 11</w:t>
              </w:r>
              <w:r w:rsidR="0082369C">
                <w:rPr>
                  <w:rFonts w:ascii="Times New Roman" w:hAnsi="Times New Roman" w:cs="Times New Roman"/>
                  <w:b w:val="0"/>
                  <w:sz w:val="18"/>
                  <w:szCs w:val="20"/>
                  <w:lang w:eastAsia="sv-SE"/>
                </w:rPr>
                <w:tab/>
              </w:r>
              <w:r w:rsidR="0082369C">
                <w:rPr>
                  <w:rStyle w:val="af9"/>
                  <w:rFonts w:ascii="Times New Roman" w:hAnsi="Times New Roman" w:cs="Times New Roman"/>
                  <w:b w:val="0"/>
                  <w:sz w:val="18"/>
                  <w:szCs w:val="20"/>
                </w:rPr>
                <w:t>For RRC parameters HARQ-ProcessNumberSizeDCI-0-1-r17 and HARQ-ProcessNumberSizeDCI-1-1-r17, the value range should be {4,5}.</w:t>
              </w:r>
            </w:hyperlink>
            <w:r w:rsidR="0082369C">
              <w:rPr>
                <w:rFonts w:ascii="Times New Roman" w:hAnsi="Times New Roman" w:cs="Times New Roman"/>
                <w:b w:val="0"/>
                <w:sz w:val="18"/>
                <w:szCs w:val="20"/>
              </w:rPr>
              <w:fldChar w:fldCharType="end"/>
            </w:r>
          </w:p>
        </w:tc>
      </w:tr>
      <w:tr w:rsidR="00AA4AC8" w14:paraId="32DAD1BF" w14:textId="77777777">
        <w:trPr>
          <w:trHeight w:val="398"/>
          <w:jc w:val="center"/>
        </w:trPr>
        <w:tc>
          <w:tcPr>
            <w:tcW w:w="1883" w:type="dxa"/>
            <w:shd w:val="clear" w:color="auto" w:fill="auto"/>
            <w:vAlign w:val="center"/>
          </w:tcPr>
          <w:p w14:paraId="1F9C8331" w14:textId="77777777" w:rsidR="00AA4AC8" w:rsidRDefault="0082369C">
            <w:pPr>
              <w:snapToGrid w:val="0"/>
              <w:spacing w:after="0"/>
              <w:jc w:val="center"/>
              <w:rPr>
                <w:sz w:val="18"/>
              </w:rPr>
            </w:pPr>
            <w:r>
              <w:rPr>
                <w:sz w:val="18"/>
              </w:rPr>
              <w:lastRenderedPageBreak/>
              <w:t>R1-2111443 Baicell</w:t>
            </w:r>
          </w:p>
        </w:tc>
        <w:tc>
          <w:tcPr>
            <w:tcW w:w="8744" w:type="dxa"/>
            <w:vAlign w:val="center"/>
          </w:tcPr>
          <w:p w14:paraId="5261AD11" w14:textId="77777777" w:rsidR="00AA4AC8" w:rsidRDefault="0082369C">
            <w:pPr>
              <w:autoSpaceDE/>
              <w:snapToGrid w:val="0"/>
              <w:spacing w:after="0"/>
              <w:rPr>
                <w:iCs/>
                <w:sz w:val="18"/>
              </w:rPr>
            </w:pPr>
            <w:r>
              <w:rPr>
                <w:iCs/>
                <w:sz w:val="18"/>
              </w:rPr>
              <w:t>Proposal 1: For DCI 0-0/1-0, no enhancement to support indication of more than 16 HARQ processes is considered in Rel-17.</w:t>
            </w:r>
          </w:p>
          <w:p w14:paraId="08393CD8" w14:textId="77777777" w:rsidR="00AA4AC8" w:rsidRDefault="0082369C">
            <w:pPr>
              <w:autoSpaceDE/>
              <w:snapToGrid w:val="0"/>
              <w:spacing w:after="0"/>
              <w:rPr>
                <w:iCs/>
                <w:sz w:val="18"/>
              </w:rPr>
            </w:pPr>
            <w:r>
              <w:rPr>
                <w:iCs/>
                <w:sz w:val="18"/>
              </w:rPr>
              <w:t>Observation 2: For the feedback-disabled process in Type-1 HARQ codebook, reporting actual NACK/ACK result is helpful for link adaptation. The performance gain of reporting NACK only for the feedback-disabled HARQ process may exist but need support by simulations.</w:t>
            </w:r>
          </w:p>
          <w:p w14:paraId="16DFF1E1" w14:textId="77777777" w:rsidR="00AA4AC8" w:rsidRDefault="0082369C">
            <w:pPr>
              <w:autoSpaceDE/>
              <w:snapToGrid w:val="0"/>
              <w:spacing w:after="0"/>
              <w:rPr>
                <w:sz w:val="18"/>
              </w:rPr>
            </w:pPr>
            <w:r>
              <w:rPr>
                <w:iCs/>
                <w:sz w:val="18"/>
              </w:rPr>
              <w:t xml:space="preserve">Proposal 2-1: For Type-1 HARQ codebook, if DCIs carrying the feedback-disabled and feedback-enabled HARQ processes are detected by UE, the UE will report NACK/ACK based on the actual decoding results for the feedback-disabled HARQ process. </w:t>
            </w:r>
          </w:p>
          <w:p w14:paraId="284EFC30" w14:textId="77777777" w:rsidR="00AA4AC8" w:rsidRDefault="0082369C">
            <w:pPr>
              <w:autoSpaceDE/>
              <w:snapToGrid w:val="0"/>
              <w:spacing w:after="0"/>
              <w:rPr>
                <w:iCs/>
                <w:sz w:val="18"/>
              </w:rPr>
            </w:pPr>
            <w:r>
              <w:rPr>
                <w:iCs/>
                <w:sz w:val="18"/>
              </w:rPr>
              <w:t>Proposal 2-2: For Type-1 HARQ codebook, if only DCI carrying feedback-disabled HARQ process is detected by UE, the UE should skip the codebook feedback.</w:t>
            </w:r>
          </w:p>
          <w:p w14:paraId="792D80CB" w14:textId="77777777" w:rsidR="00AA4AC8" w:rsidRDefault="0082369C">
            <w:pPr>
              <w:autoSpaceDE/>
              <w:snapToGrid w:val="0"/>
              <w:spacing w:after="0"/>
              <w:rPr>
                <w:iCs/>
                <w:sz w:val="18"/>
              </w:rPr>
            </w:pPr>
            <w:r>
              <w:rPr>
                <w:iCs/>
                <w:sz w:val="18"/>
              </w:rPr>
              <w:t xml:space="preserve">Observation 3: For Type 2 HARQ-ACK codebook in NTN, the C-DAI and T-DAI of PDSCH with feedback-disabled process can be used to address </w:t>
            </w:r>
            <w:r>
              <w:rPr>
                <w:iCs/>
                <w:sz w:val="18"/>
                <w:u w:val="single"/>
              </w:rPr>
              <w:t>the last DCI missing issue</w:t>
            </w:r>
            <w:r>
              <w:rPr>
                <w:iCs/>
                <w:sz w:val="18"/>
              </w:rPr>
              <w:t>.</w:t>
            </w:r>
          </w:p>
          <w:p w14:paraId="61B2F743" w14:textId="77777777" w:rsidR="00AA4AC8" w:rsidRDefault="0082369C">
            <w:pPr>
              <w:autoSpaceDE/>
              <w:snapToGrid w:val="0"/>
              <w:spacing w:after="0"/>
              <w:rPr>
                <w:iCs/>
                <w:sz w:val="18"/>
              </w:rPr>
            </w:pPr>
            <w:r>
              <w:rPr>
                <w:iCs/>
                <w:sz w:val="18"/>
              </w:rPr>
              <w:t>Proposal 3: For Type 2 HARQ-ACK codebook in NTN, the C-DAI and T-DAI of PDSCH with feedback-disabled process is the same as the C-DAI and T-DAI of the most recently transmitted DCI  of PDSCH with feedback-enabled process .</w:t>
            </w:r>
          </w:p>
          <w:p w14:paraId="29C4A793" w14:textId="77777777" w:rsidR="00AA4AC8" w:rsidRDefault="0082369C">
            <w:pPr>
              <w:autoSpaceDE/>
              <w:snapToGrid w:val="0"/>
              <w:spacing w:after="0"/>
              <w:rPr>
                <w:iCs/>
                <w:sz w:val="18"/>
              </w:rPr>
            </w:pPr>
            <w:r>
              <w:rPr>
                <w:iCs/>
                <w:sz w:val="18"/>
              </w:rPr>
              <w:t>Proposal 4: For Type-3 HARQ codebook in NTN, the UE should skip the codebook feedback for a feedback-disabled HARQ processes.</w:t>
            </w:r>
          </w:p>
          <w:p w14:paraId="785D6AE5" w14:textId="77777777" w:rsidR="00AA4AC8" w:rsidRDefault="0082369C">
            <w:pPr>
              <w:autoSpaceDE/>
              <w:autoSpaceDN/>
              <w:snapToGrid w:val="0"/>
              <w:spacing w:after="0"/>
              <w:rPr>
                <w:sz w:val="18"/>
              </w:rPr>
            </w:pPr>
            <w:r>
              <w:rPr>
                <w:rFonts w:eastAsiaTheme="minorEastAsia"/>
                <w:bCs/>
                <w:color w:val="000000" w:themeColor="text1"/>
                <w:sz w:val="18"/>
              </w:rPr>
              <w:t>Proposal 8: For NTN operation, the maximum level of slot aggregation to be considered could be 16 or 32 slots, and 16 is preferred.</w:t>
            </w:r>
          </w:p>
        </w:tc>
      </w:tr>
      <w:tr w:rsidR="00AA4AC8" w14:paraId="120EB848" w14:textId="77777777">
        <w:trPr>
          <w:trHeight w:val="398"/>
          <w:jc w:val="center"/>
        </w:trPr>
        <w:tc>
          <w:tcPr>
            <w:tcW w:w="1883" w:type="dxa"/>
            <w:shd w:val="clear" w:color="auto" w:fill="auto"/>
            <w:vAlign w:val="center"/>
          </w:tcPr>
          <w:p w14:paraId="0FAD5E49" w14:textId="77777777" w:rsidR="00AA4AC8" w:rsidRDefault="0082369C">
            <w:pPr>
              <w:snapToGrid w:val="0"/>
              <w:spacing w:after="0"/>
              <w:jc w:val="center"/>
              <w:rPr>
                <w:sz w:val="18"/>
              </w:rPr>
            </w:pPr>
            <w:r>
              <w:rPr>
                <w:bCs/>
                <w:sz w:val="18"/>
              </w:rPr>
              <w:t>R1-2111572 Xiaomi</w:t>
            </w:r>
          </w:p>
        </w:tc>
        <w:tc>
          <w:tcPr>
            <w:tcW w:w="8744" w:type="dxa"/>
            <w:vAlign w:val="center"/>
          </w:tcPr>
          <w:p w14:paraId="0906DE74" w14:textId="77777777" w:rsidR="00AA4AC8" w:rsidRDefault="0082369C">
            <w:pPr>
              <w:snapToGrid w:val="0"/>
              <w:spacing w:after="0"/>
              <w:jc w:val="both"/>
              <w:rPr>
                <w:sz w:val="18"/>
              </w:rPr>
            </w:pPr>
            <w:r>
              <w:rPr>
                <w:sz w:val="18"/>
              </w:rPr>
              <w:t>Proposal 1: The number of supported HARQ processes is subject to the UE’s capability.</w:t>
            </w:r>
          </w:p>
          <w:p w14:paraId="6790CA00" w14:textId="77777777" w:rsidR="00AA4AC8" w:rsidRDefault="0082369C">
            <w:pPr>
              <w:snapToGrid w:val="0"/>
              <w:spacing w:after="0"/>
              <w:jc w:val="both"/>
              <w:rPr>
                <w:sz w:val="18"/>
              </w:rPr>
            </w:pPr>
            <w:r>
              <w:rPr>
                <w:sz w:val="18"/>
              </w:rPr>
              <w:t>Proposal 2: For Type-1 HARQ codebook, UE to report NACK only for the feedback-disabled HARQ process regardless of the decoding results of corresponding PDSCH.</w:t>
            </w:r>
          </w:p>
          <w:p w14:paraId="38A2553E" w14:textId="77777777" w:rsidR="00AA4AC8" w:rsidRDefault="0082369C">
            <w:pPr>
              <w:snapToGrid w:val="0"/>
              <w:spacing w:after="0"/>
              <w:jc w:val="both"/>
              <w:rPr>
                <w:sz w:val="18"/>
              </w:rPr>
            </w:pPr>
            <w:r>
              <w:rPr>
                <w:sz w:val="18"/>
              </w:rPr>
              <w:t>Proposal 3: For Type-1 HARQ codebook, if only DCI carrying feedback-disabled HARQ process is detected by UE, the UE’s behaviour is same as the case if DCIs carrying the feedback-disabled and feedback-enabled HARQ processes are detected by UE.</w:t>
            </w:r>
          </w:p>
          <w:p w14:paraId="46ACECF0" w14:textId="77777777" w:rsidR="00AA4AC8" w:rsidRDefault="0082369C">
            <w:pPr>
              <w:snapToGrid w:val="0"/>
              <w:spacing w:after="0"/>
              <w:jc w:val="both"/>
              <w:rPr>
                <w:sz w:val="18"/>
              </w:rPr>
            </w:pPr>
            <w:r>
              <w:rPr>
                <w:sz w:val="18"/>
              </w:rPr>
              <w:t>Proposal 4: For the type 2 codebook, the C-DAI and T-DAI are the count of feedback-enabled processes, despite they are not incremented, and are taken into account by the UE for type 2 codebook generation.</w:t>
            </w:r>
          </w:p>
          <w:p w14:paraId="730A7C9D" w14:textId="77777777" w:rsidR="00AA4AC8" w:rsidRDefault="0082369C">
            <w:pPr>
              <w:snapToGrid w:val="0"/>
              <w:spacing w:after="0"/>
              <w:jc w:val="both"/>
              <w:rPr>
                <w:sz w:val="18"/>
              </w:rPr>
            </w:pPr>
            <w:r>
              <w:rPr>
                <w:sz w:val="18"/>
              </w:rPr>
              <w:t>Proposal 5: For the type 3 codebook, the codebook should not include the HARQ feedback for a feedback-disabled HARQ processes if it is supported in NTN scenario.</w:t>
            </w:r>
          </w:p>
          <w:p w14:paraId="745B9389" w14:textId="77777777" w:rsidR="00AA4AC8" w:rsidRDefault="0082369C">
            <w:pPr>
              <w:snapToGrid w:val="0"/>
              <w:spacing w:after="0"/>
              <w:jc w:val="both"/>
              <w:rPr>
                <w:sz w:val="18"/>
              </w:rPr>
            </w:pPr>
            <w:r>
              <w:rPr>
                <w:sz w:val="18"/>
              </w:rPr>
              <w:t xml:space="preserve">Proposal 6: Define a separate periodicity for feedback-enabled HARQ process in SPS PDSCH configuration. </w:t>
            </w:r>
          </w:p>
          <w:p w14:paraId="7837DC63" w14:textId="77777777" w:rsidR="00AA4AC8" w:rsidRDefault="0082369C">
            <w:pPr>
              <w:snapToGrid w:val="0"/>
              <w:spacing w:after="0"/>
              <w:jc w:val="both"/>
              <w:rPr>
                <w:sz w:val="18"/>
              </w:rPr>
            </w:pPr>
            <w:r>
              <w:rPr>
                <w:sz w:val="18"/>
              </w:rPr>
              <w:t>Proposal 7: Enhancement on the UCI reporting such as the data decoding statistics should be introduced.</w:t>
            </w:r>
          </w:p>
        </w:tc>
      </w:tr>
      <w:tr w:rsidR="00AA4AC8" w14:paraId="47025D7C" w14:textId="77777777">
        <w:trPr>
          <w:trHeight w:val="398"/>
          <w:jc w:val="center"/>
        </w:trPr>
        <w:tc>
          <w:tcPr>
            <w:tcW w:w="1883" w:type="dxa"/>
            <w:shd w:val="clear" w:color="auto" w:fill="auto"/>
            <w:vAlign w:val="center"/>
          </w:tcPr>
          <w:p w14:paraId="59C04E70" w14:textId="77777777" w:rsidR="00AA4AC8" w:rsidRDefault="0082369C">
            <w:pPr>
              <w:snapToGrid w:val="0"/>
              <w:spacing w:after="0"/>
              <w:jc w:val="center"/>
              <w:rPr>
                <w:sz w:val="18"/>
              </w:rPr>
            </w:pPr>
            <w:r>
              <w:rPr>
                <w:sz w:val="18"/>
                <w:lang w:eastAsia="ja-JP"/>
              </w:rPr>
              <w:t>R1-2111607 CMCC</w:t>
            </w:r>
          </w:p>
        </w:tc>
        <w:tc>
          <w:tcPr>
            <w:tcW w:w="8744" w:type="dxa"/>
            <w:vAlign w:val="center"/>
          </w:tcPr>
          <w:p w14:paraId="418E05F0" w14:textId="77777777" w:rsidR="00AA4AC8" w:rsidRDefault="0082369C">
            <w:pPr>
              <w:snapToGrid w:val="0"/>
              <w:spacing w:after="0"/>
              <w:rPr>
                <w:bCs/>
                <w:iCs/>
                <w:sz w:val="18"/>
              </w:rPr>
            </w:pPr>
            <w:r>
              <w:rPr>
                <w:sz w:val="18"/>
                <w:u w:val="single"/>
              </w:rPr>
              <w:t>Observation 1:</w:t>
            </w:r>
            <w:r>
              <w:rPr>
                <w:bCs/>
                <w:sz w:val="18"/>
              </w:rPr>
              <w:t xml:space="preserve"> For Type-1 HARQ codebook, if only DCI carrying feedback-disabled HARQ process is detected by UE</w:t>
            </w:r>
            <w:r>
              <w:rPr>
                <w:bCs/>
                <w:iCs/>
                <w:sz w:val="18"/>
              </w:rPr>
              <w:t>, the UE should skip the codebook feedback, including:</w:t>
            </w:r>
          </w:p>
          <w:p w14:paraId="0086AD92"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iCs/>
                <w:sz w:val="18"/>
                <w:szCs w:val="20"/>
              </w:rPr>
              <w:t>The UE may generate the legacy codebook but finally drop it.</w:t>
            </w:r>
          </w:p>
          <w:p w14:paraId="49BD644C" w14:textId="77777777" w:rsidR="00AA4AC8" w:rsidRDefault="0082369C">
            <w:pPr>
              <w:snapToGrid w:val="0"/>
              <w:spacing w:after="0"/>
              <w:rPr>
                <w:bCs/>
                <w:sz w:val="18"/>
              </w:rPr>
            </w:pPr>
            <w:r>
              <w:rPr>
                <w:sz w:val="18"/>
                <w:u w:val="single"/>
              </w:rPr>
              <w:t>Observation 2:</w:t>
            </w:r>
            <w:r>
              <w:rPr>
                <w:bCs/>
                <w:sz w:val="18"/>
              </w:rPr>
              <w:t xml:space="preserve"> For Type-1 HARQ codebook, if only DCI carrying feedback-disabled HARQ process is detected by UE, and if the UE skip the codebook feedback when the feedback is carried by PUCCH or when the HARQ codebook feedback is not multiplexed with other feedback in the same UCI, at least </w:t>
            </w:r>
            <w:r>
              <w:rPr>
                <w:bCs/>
                <w:iCs/>
                <w:sz w:val="18"/>
              </w:rPr>
              <w:t>UE battery consumption for sending PUCCH carrying HARQ-ACK feedback can be reduced, including,</w:t>
            </w:r>
          </w:p>
          <w:p w14:paraId="01BDA28A"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iCs/>
                <w:sz w:val="18"/>
                <w:szCs w:val="20"/>
              </w:rPr>
              <w:t>If unsuccessful detection of DCI carrying feedback-enable HARQ process doesn’t occur, both PUCCH resource overhead for carrying HARQ-ACK feedback as configured by the gNB and UE battery consumption for sending PUCCH can be reduced.</w:t>
            </w:r>
          </w:p>
          <w:p w14:paraId="6311286D"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iCs/>
                <w:sz w:val="18"/>
                <w:szCs w:val="20"/>
              </w:rPr>
              <w:lastRenderedPageBreak/>
              <w:t>If unsuccessful detection of DCI carrying feedback-enable HARQ process occurs</w:t>
            </w:r>
            <w:r>
              <w:rPr>
                <w:rFonts w:ascii="Times New Roman" w:eastAsiaTheme="minorEastAsia" w:hAnsi="Times New Roman"/>
                <w:bCs/>
                <w:sz w:val="18"/>
                <w:szCs w:val="20"/>
              </w:rPr>
              <w:t xml:space="preserve">, </w:t>
            </w:r>
            <w:r>
              <w:rPr>
                <w:rFonts w:ascii="Times New Roman" w:hAnsi="Times New Roman"/>
                <w:bCs/>
                <w:iCs/>
                <w:sz w:val="18"/>
                <w:szCs w:val="20"/>
              </w:rPr>
              <w:t>UE battery consumption for sending PUCCH carrying HARQ-ACK feedback can be reduced.</w:t>
            </w:r>
          </w:p>
          <w:p w14:paraId="2448C275" w14:textId="77777777" w:rsidR="00AA4AC8" w:rsidRDefault="0082369C">
            <w:pPr>
              <w:snapToGrid w:val="0"/>
              <w:spacing w:after="0"/>
              <w:rPr>
                <w:bCs/>
                <w:iCs/>
                <w:sz w:val="18"/>
              </w:rPr>
            </w:pPr>
            <w:r>
              <w:rPr>
                <w:sz w:val="18"/>
                <w:u w:val="single"/>
              </w:rPr>
              <w:t>Observation 3:</w:t>
            </w:r>
            <w:r>
              <w:rPr>
                <w:bCs/>
                <w:sz w:val="18"/>
              </w:rPr>
              <w:t xml:space="preserve"> For Type-2 HARQ codebook, if all DCIs of PDSCH are associated with feedback-disabled HARQ process, </w:t>
            </w:r>
            <w:r>
              <w:rPr>
                <w:bCs/>
                <w:iCs/>
                <w:sz w:val="18"/>
              </w:rPr>
              <w:t>no matter UE sends or drops the HARQ-ACK feedback, no error case will occur.</w:t>
            </w:r>
          </w:p>
          <w:p w14:paraId="1658B95B"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iCs/>
                <w:sz w:val="18"/>
                <w:szCs w:val="20"/>
              </w:rPr>
              <w:t xml:space="preserve">If UE sends the HARQ-ACK feedback, less spec impact can be expected since UE behaviors as legacy. </w:t>
            </w:r>
          </w:p>
          <w:p w14:paraId="64CB8A09"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iCs/>
                <w:sz w:val="18"/>
                <w:szCs w:val="20"/>
              </w:rPr>
              <w:t>If UE drops the feedback, UE battery consumption for HARQ-ACK feedback can be reduced.</w:t>
            </w:r>
          </w:p>
          <w:p w14:paraId="6F7B5B06" w14:textId="77777777" w:rsidR="00AA4AC8" w:rsidRDefault="0082369C">
            <w:pPr>
              <w:snapToGrid w:val="0"/>
              <w:spacing w:after="0"/>
              <w:rPr>
                <w:bCs/>
                <w:sz w:val="18"/>
              </w:rPr>
            </w:pPr>
            <w:r>
              <w:rPr>
                <w:sz w:val="18"/>
                <w:u w:val="single"/>
              </w:rPr>
              <w:t>Proposal 1:</w:t>
            </w:r>
            <w:r>
              <w:rPr>
                <w:bCs/>
                <w:sz w:val="18"/>
              </w:rPr>
              <w:t xml:space="preserve"> For Type-1 HARQ codebook, if DCIs carrying the feedback-disabled and feedback-enabled HARQ processes are detected by UE, support </w:t>
            </w:r>
            <w:r>
              <w:rPr>
                <w:sz w:val="18"/>
              </w:rPr>
              <w:t>Option-2</w:t>
            </w:r>
            <w:r>
              <w:rPr>
                <w:bCs/>
                <w:sz w:val="18"/>
              </w:rPr>
              <w:t>, i.e.,</w:t>
            </w:r>
          </w:p>
          <w:p w14:paraId="6A5FFAA0"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sz w:val="18"/>
                <w:szCs w:val="20"/>
              </w:rPr>
              <w:t>The UE will report NACK/ACK for the feedback-disabled HARQ process depending on the decoding results of corresponding PDSCH.</w:t>
            </w:r>
          </w:p>
          <w:p w14:paraId="7F1EB94B" w14:textId="77777777" w:rsidR="00AA4AC8" w:rsidRDefault="0082369C">
            <w:pPr>
              <w:snapToGrid w:val="0"/>
              <w:spacing w:after="0"/>
              <w:rPr>
                <w:bCs/>
                <w:sz w:val="18"/>
              </w:rPr>
            </w:pPr>
            <w:r>
              <w:rPr>
                <w:sz w:val="18"/>
                <w:u w:val="single"/>
              </w:rPr>
              <w:t>Proposal 2:</w:t>
            </w:r>
            <w:r>
              <w:rPr>
                <w:bCs/>
                <w:sz w:val="18"/>
              </w:rPr>
              <w:t xml:space="preserve"> For Type-1 HARQ codebook, if only DCI carrying feedback-disabled HARQ process is detected by UE (down-select between Option-1 and 1a)</w:t>
            </w:r>
          </w:p>
          <w:p w14:paraId="58B76509"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sz w:val="18"/>
                <w:szCs w:val="20"/>
              </w:rPr>
              <w:t>Option-1: the UE should skip the codebook feedback at least when the feedback is carried by PUCCH.</w:t>
            </w:r>
          </w:p>
          <w:p w14:paraId="0EABEE9A"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sz w:val="18"/>
                <w:szCs w:val="20"/>
              </w:rPr>
              <w:t>Option-1a: the UE should skip the codebook feedback, the UE should skip the HARQ codebook feedback when it is not multiplexed with other feedback in the same UCI.</w:t>
            </w:r>
          </w:p>
          <w:p w14:paraId="74ED45BC" w14:textId="77777777" w:rsidR="00AA4AC8" w:rsidRDefault="0082369C">
            <w:pPr>
              <w:snapToGrid w:val="0"/>
              <w:spacing w:after="0"/>
              <w:rPr>
                <w:bCs/>
                <w:sz w:val="18"/>
              </w:rPr>
            </w:pPr>
            <w:r>
              <w:rPr>
                <w:sz w:val="18"/>
                <w:u w:val="single"/>
              </w:rPr>
              <w:t>Proposal 3:</w:t>
            </w:r>
            <w:r>
              <w:rPr>
                <w:bCs/>
                <w:sz w:val="18"/>
              </w:rPr>
              <w:t xml:space="preserve"> For Type-1 HARQ codebook, if only DCI carrying feedback-disabled HARQ process is detected by UE, Option-1a is preferred.</w:t>
            </w:r>
          </w:p>
          <w:p w14:paraId="4D993B8D" w14:textId="77777777" w:rsidR="00AA4AC8" w:rsidRDefault="0082369C">
            <w:pPr>
              <w:pStyle w:val="afc"/>
              <w:numPr>
                <w:ilvl w:val="0"/>
                <w:numId w:val="34"/>
              </w:numPr>
              <w:adjustRightInd w:val="0"/>
              <w:snapToGrid w:val="0"/>
              <w:rPr>
                <w:rFonts w:ascii="Times New Roman" w:hAnsi="Times New Roman"/>
                <w:bCs/>
                <w:sz w:val="18"/>
                <w:szCs w:val="20"/>
              </w:rPr>
            </w:pPr>
            <w:r>
              <w:rPr>
                <w:rFonts w:ascii="Times New Roman" w:hAnsi="Times New Roman"/>
                <w:bCs/>
                <w:sz w:val="18"/>
                <w:szCs w:val="20"/>
              </w:rPr>
              <w:t>Option-1a: the UE should skip the codebook feedback, the UE should skip the HARQ codebook feedback when it is not multiplexed with other feedback in the same UCI.</w:t>
            </w:r>
          </w:p>
          <w:p w14:paraId="0A8E6C9D" w14:textId="77777777" w:rsidR="00AA4AC8" w:rsidRDefault="0082369C">
            <w:pPr>
              <w:snapToGrid w:val="0"/>
              <w:spacing w:after="0"/>
              <w:rPr>
                <w:bCs/>
                <w:sz w:val="18"/>
              </w:rPr>
            </w:pPr>
            <w:r>
              <w:rPr>
                <w:sz w:val="18"/>
                <w:u w:val="single"/>
              </w:rPr>
              <w:t>Proposal 4:</w:t>
            </w:r>
            <w:r>
              <w:rPr>
                <w:bCs/>
                <w:sz w:val="18"/>
              </w:rPr>
              <w:t xml:space="preserve"> For Type-2 HARQ codebook generation, the UE assume that the C-DAI and T-DAI of the DCI of PDSCH with feedback-disabled process is the same as the C-DAI and T-DAI of the most recently transmitted DCI of PDSCH with feedback-enabled process by gNB.</w:t>
            </w:r>
          </w:p>
          <w:p w14:paraId="14E97517" w14:textId="77777777" w:rsidR="00AA4AC8" w:rsidRDefault="0082369C">
            <w:pPr>
              <w:snapToGrid w:val="0"/>
              <w:spacing w:after="0"/>
              <w:rPr>
                <w:bCs/>
                <w:sz w:val="18"/>
              </w:rPr>
            </w:pPr>
            <w:r>
              <w:rPr>
                <w:sz w:val="18"/>
                <w:u w:val="single"/>
              </w:rPr>
              <w:t>Proposal 5:</w:t>
            </w:r>
            <w:r>
              <w:rPr>
                <w:bCs/>
                <w:sz w:val="18"/>
              </w:rPr>
              <w:t xml:space="preserve"> Regarding the retransmissions for TBs with disabled HARQ feedback, the LLR combination is up to the UE’s implementation.</w:t>
            </w:r>
          </w:p>
          <w:p w14:paraId="5B3DB3B8" w14:textId="77777777" w:rsidR="00AA4AC8" w:rsidRDefault="0082369C">
            <w:pPr>
              <w:snapToGrid w:val="0"/>
              <w:spacing w:after="0"/>
              <w:rPr>
                <w:bCs/>
                <w:iCs/>
                <w:sz w:val="18"/>
              </w:rPr>
            </w:pPr>
            <w:r>
              <w:rPr>
                <w:sz w:val="18"/>
                <w:u w:val="single"/>
              </w:rPr>
              <w:t>Proposal 6:</w:t>
            </w:r>
            <w:r>
              <w:rPr>
                <w:bCs/>
                <w:sz w:val="18"/>
              </w:rPr>
              <w:t xml:space="preserve"> </w:t>
            </w:r>
            <w:r>
              <w:rPr>
                <w:bCs/>
                <w:iCs/>
                <w:sz w:val="18"/>
              </w:rPr>
              <w:t>For the SPS PDSCH transmission, one of following should be supported:</w:t>
            </w:r>
          </w:p>
          <w:p w14:paraId="692474CE" w14:textId="77777777" w:rsidR="00AA4AC8" w:rsidRDefault="0082369C">
            <w:pPr>
              <w:pStyle w:val="afc"/>
              <w:numPr>
                <w:ilvl w:val="0"/>
                <w:numId w:val="34"/>
              </w:numPr>
              <w:adjustRightInd w:val="0"/>
              <w:snapToGrid w:val="0"/>
              <w:rPr>
                <w:rFonts w:ascii="Times New Roman" w:hAnsi="Times New Roman"/>
                <w:bCs/>
                <w:iCs/>
                <w:sz w:val="18"/>
                <w:szCs w:val="20"/>
              </w:rPr>
            </w:pPr>
            <w:r>
              <w:rPr>
                <w:rFonts w:ascii="Times New Roman" w:hAnsi="Times New Roman"/>
                <w:bCs/>
                <w:iCs/>
                <w:sz w:val="18"/>
                <w:szCs w:val="20"/>
              </w:rPr>
              <w:t>Option-2: The feedback for the HARQ process associated to SPS PDSCH can be disabled by RRC configuration per HARQ process.</w:t>
            </w:r>
          </w:p>
          <w:p w14:paraId="36A1F04F" w14:textId="77777777" w:rsidR="00AA4AC8" w:rsidRDefault="0082369C">
            <w:pPr>
              <w:pStyle w:val="afc"/>
              <w:numPr>
                <w:ilvl w:val="0"/>
                <w:numId w:val="34"/>
              </w:numPr>
              <w:adjustRightInd w:val="0"/>
              <w:snapToGrid w:val="0"/>
              <w:rPr>
                <w:rFonts w:ascii="Times New Roman" w:hAnsi="Times New Roman"/>
                <w:bCs/>
                <w:iCs/>
                <w:sz w:val="18"/>
                <w:szCs w:val="20"/>
              </w:rPr>
            </w:pPr>
            <w:r>
              <w:rPr>
                <w:rFonts w:ascii="Times New Roman" w:hAnsi="Times New Roman"/>
                <w:bCs/>
                <w:iCs/>
                <w:sz w:val="18"/>
                <w:szCs w:val="20"/>
              </w:rPr>
              <w:t>Option-3: The feedback for the HARQ process associated to SPS PDSCH can be disabled by RRC configuration per SPS configuration.</w:t>
            </w:r>
          </w:p>
          <w:p w14:paraId="7D8CC8A2" w14:textId="77777777" w:rsidR="00AA4AC8" w:rsidRDefault="0082369C">
            <w:pPr>
              <w:snapToGrid w:val="0"/>
              <w:spacing w:after="0"/>
              <w:rPr>
                <w:bCs/>
                <w:iCs/>
                <w:sz w:val="18"/>
              </w:rPr>
            </w:pPr>
            <w:r>
              <w:rPr>
                <w:sz w:val="18"/>
                <w:u w:val="single"/>
              </w:rPr>
              <w:t>Proposal 7:</w:t>
            </w:r>
            <w:r>
              <w:rPr>
                <w:bCs/>
                <w:sz w:val="18"/>
              </w:rPr>
              <w:t xml:space="preserve"> </w:t>
            </w:r>
            <w:r>
              <w:rPr>
                <w:bCs/>
                <w:iCs/>
                <w:sz w:val="18"/>
              </w:rPr>
              <w:t>No optimization on the bit-field related to the HARQ-ACK feedback for the DCI of PDSCH with feedback-disabled HARQ process.</w:t>
            </w:r>
          </w:p>
          <w:p w14:paraId="1CF9E910" w14:textId="77777777" w:rsidR="00AA4AC8" w:rsidRDefault="0082369C">
            <w:pPr>
              <w:snapToGrid w:val="0"/>
              <w:spacing w:after="0"/>
              <w:rPr>
                <w:bCs/>
                <w:iCs/>
                <w:sz w:val="18"/>
              </w:rPr>
            </w:pPr>
            <w:r>
              <w:rPr>
                <w:sz w:val="18"/>
                <w:u w:val="single"/>
              </w:rPr>
              <w:t>Proposal 8:</w:t>
            </w:r>
            <w:r>
              <w:rPr>
                <w:bCs/>
                <w:sz w:val="18"/>
              </w:rPr>
              <w:t xml:space="preserve"> </w:t>
            </w:r>
            <w:r>
              <w:rPr>
                <w:bCs/>
                <w:iCs/>
                <w:sz w:val="18"/>
              </w:rPr>
              <w:t>The maximum number of supported aggregation factor (i.e., pdsch-AggregationFactor) for DL PDSCH is 16 or 32.</w:t>
            </w:r>
          </w:p>
          <w:p w14:paraId="3A6EC82E" w14:textId="77777777" w:rsidR="00AA4AC8" w:rsidRDefault="0082369C">
            <w:pPr>
              <w:snapToGrid w:val="0"/>
              <w:spacing w:after="0"/>
              <w:rPr>
                <w:sz w:val="18"/>
              </w:rPr>
            </w:pPr>
            <w:r>
              <w:rPr>
                <w:sz w:val="18"/>
                <w:u w:val="single"/>
              </w:rPr>
              <w:t>Proposal 9:</w:t>
            </w:r>
            <w:r>
              <w:rPr>
                <w:bCs/>
                <w:sz w:val="18"/>
              </w:rPr>
              <w:t xml:space="preserve"> UE expects that MAC-CEs are transmitted using HARQ processes with feedback enabled, except for TA command indication.</w:t>
            </w:r>
          </w:p>
        </w:tc>
      </w:tr>
      <w:tr w:rsidR="00AA4AC8" w14:paraId="4630C564" w14:textId="77777777">
        <w:trPr>
          <w:trHeight w:val="398"/>
          <w:jc w:val="center"/>
        </w:trPr>
        <w:tc>
          <w:tcPr>
            <w:tcW w:w="1883" w:type="dxa"/>
            <w:shd w:val="clear" w:color="auto" w:fill="auto"/>
            <w:vAlign w:val="center"/>
          </w:tcPr>
          <w:p w14:paraId="40C9308B" w14:textId="77777777" w:rsidR="00AA4AC8" w:rsidRDefault="0082369C">
            <w:pPr>
              <w:snapToGrid w:val="0"/>
              <w:spacing w:after="0"/>
              <w:jc w:val="center"/>
              <w:rPr>
                <w:sz w:val="18"/>
              </w:rPr>
            </w:pPr>
            <w:r>
              <w:rPr>
                <w:sz w:val="18"/>
              </w:rPr>
              <w:lastRenderedPageBreak/>
              <w:t>R1-2111647 Panasonic</w:t>
            </w:r>
          </w:p>
        </w:tc>
        <w:tc>
          <w:tcPr>
            <w:tcW w:w="8744" w:type="dxa"/>
            <w:vAlign w:val="center"/>
          </w:tcPr>
          <w:p w14:paraId="01581DD1" w14:textId="77777777" w:rsidR="00AA4AC8" w:rsidRDefault="0082369C">
            <w:pPr>
              <w:snapToGrid w:val="0"/>
              <w:spacing w:after="0"/>
              <w:rPr>
                <w:sz w:val="18"/>
                <w:lang w:eastAsia="ja-JP"/>
              </w:rPr>
            </w:pPr>
            <w:r>
              <w:rPr>
                <w:bCs/>
                <w:sz w:val="18"/>
                <w:lang w:eastAsia="ja-JP"/>
              </w:rPr>
              <w:t xml:space="preserve">Proposal 1: For type 1 HARQ codebook, UE shall </w:t>
            </w:r>
            <w:r>
              <w:rPr>
                <w:bCs/>
                <w:sz w:val="18"/>
              </w:rPr>
              <w:t>transmit ACK/NACK for the feedback-disabled HARQ process depending on the decoding results</w:t>
            </w:r>
          </w:p>
          <w:p w14:paraId="2C7C7BD2" w14:textId="77777777" w:rsidR="00AA4AC8" w:rsidRDefault="0082369C">
            <w:pPr>
              <w:snapToGrid w:val="0"/>
              <w:spacing w:after="0"/>
              <w:rPr>
                <w:bCs/>
                <w:sz w:val="18"/>
                <w:lang w:eastAsia="ja-JP"/>
              </w:rPr>
            </w:pPr>
            <w:r>
              <w:rPr>
                <w:bCs/>
                <w:sz w:val="18"/>
                <w:lang w:eastAsia="ja-JP"/>
              </w:rPr>
              <w:t xml:space="preserve">Proposal 2: C-DAI and T-DAI in the DCI of PDSCH with feedback-disabled process is the count of feedback-enabled processes (Option-1) </w:t>
            </w:r>
          </w:p>
          <w:p w14:paraId="3EA6F72A" w14:textId="77777777" w:rsidR="00AA4AC8" w:rsidRDefault="0082369C">
            <w:pPr>
              <w:snapToGrid w:val="0"/>
              <w:spacing w:after="0"/>
              <w:rPr>
                <w:bCs/>
                <w:sz w:val="18"/>
                <w:lang w:eastAsia="ja-JP"/>
              </w:rPr>
            </w:pPr>
            <w:r>
              <w:rPr>
                <w:bCs/>
                <w:sz w:val="18"/>
                <w:lang w:eastAsia="ja-JP"/>
              </w:rPr>
              <w:t>Proposal 3: When the number of HARQ-ACKs is zero, DAI 1,1 is indicated in the DCI of PDSCH with feedback-disabled process.</w:t>
            </w:r>
          </w:p>
          <w:p w14:paraId="2664DD5D" w14:textId="77777777" w:rsidR="00AA4AC8" w:rsidRDefault="0082369C">
            <w:pPr>
              <w:snapToGrid w:val="0"/>
              <w:spacing w:after="0"/>
              <w:rPr>
                <w:sz w:val="18"/>
                <w:lang w:eastAsia="ja-JP"/>
              </w:rPr>
            </w:pPr>
            <w:r>
              <w:rPr>
                <w:bCs/>
                <w:sz w:val="18"/>
                <w:lang w:eastAsia="ja-JP"/>
              </w:rPr>
              <w:t xml:space="preserve">Proposal 4: </w:t>
            </w:r>
            <w:r>
              <w:rPr>
                <w:sz w:val="18"/>
                <w:lang w:eastAsia="ja-JP"/>
              </w:rPr>
              <w:t>Whether to use feedback-disabled process or enabled process for SPS PDSCH is up to network implementation.</w:t>
            </w:r>
          </w:p>
          <w:p w14:paraId="068D0584" w14:textId="77777777" w:rsidR="00AA4AC8" w:rsidRDefault="0082369C">
            <w:pPr>
              <w:snapToGrid w:val="0"/>
              <w:spacing w:after="0"/>
              <w:rPr>
                <w:sz w:val="18"/>
                <w:lang w:eastAsia="ja-JP"/>
              </w:rPr>
            </w:pPr>
            <w:r>
              <w:rPr>
                <w:sz w:val="18"/>
                <w:lang w:eastAsia="ja-JP"/>
              </w:rPr>
              <w:t xml:space="preserve">Proposal 5: HARQ feedback-disabling for SPS PDSCH is configured per SPS configuration. </w:t>
            </w:r>
          </w:p>
          <w:p w14:paraId="6B194C6D" w14:textId="77777777" w:rsidR="00AA4AC8" w:rsidRDefault="0082369C">
            <w:pPr>
              <w:snapToGrid w:val="0"/>
              <w:spacing w:after="0"/>
              <w:rPr>
                <w:sz w:val="18"/>
                <w:lang w:eastAsia="ja-JP"/>
              </w:rPr>
            </w:pPr>
            <w:r>
              <w:rPr>
                <w:sz w:val="18"/>
                <w:lang w:eastAsia="ja-JP"/>
              </w:rPr>
              <w:t>Proposal 6: Whether to use feedback-disabled process or enabled process for MAC CE transmission is up to network implementation. MAC CE action timing when feedback-disabled process is used is well covered by the current specification text.</w:t>
            </w:r>
          </w:p>
          <w:p w14:paraId="4495E9A2" w14:textId="77777777" w:rsidR="00AA4AC8" w:rsidRDefault="00AA4AC8">
            <w:pPr>
              <w:snapToGrid w:val="0"/>
              <w:spacing w:after="0"/>
              <w:rPr>
                <w:sz w:val="18"/>
              </w:rPr>
            </w:pPr>
          </w:p>
        </w:tc>
      </w:tr>
      <w:tr w:rsidR="00AA4AC8" w14:paraId="7442AC34" w14:textId="77777777">
        <w:trPr>
          <w:trHeight w:val="417"/>
          <w:jc w:val="center"/>
        </w:trPr>
        <w:tc>
          <w:tcPr>
            <w:tcW w:w="1883" w:type="dxa"/>
            <w:shd w:val="clear" w:color="auto" w:fill="auto"/>
            <w:vAlign w:val="center"/>
          </w:tcPr>
          <w:p w14:paraId="5811697D" w14:textId="77777777" w:rsidR="00AA4AC8" w:rsidRDefault="0082369C">
            <w:pPr>
              <w:snapToGrid w:val="0"/>
              <w:spacing w:after="0"/>
              <w:jc w:val="center"/>
              <w:rPr>
                <w:bCs/>
                <w:sz w:val="18"/>
              </w:rPr>
            </w:pPr>
            <w:r>
              <w:rPr>
                <w:bCs/>
                <w:sz w:val="18"/>
              </w:rPr>
              <w:t>R1-2111653</w:t>
            </w:r>
          </w:p>
          <w:p w14:paraId="2F08CA49" w14:textId="77777777" w:rsidR="00AA4AC8" w:rsidRDefault="0082369C">
            <w:pPr>
              <w:snapToGrid w:val="0"/>
              <w:spacing w:after="0"/>
              <w:jc w:val="center"/>
              <w:rPr>
                <w:sz w:val="18"/>
              </w:rPr>
            </w:pPr>
            <w:r>
              <w:rPr>
                <w:sz w:val="18"/>
              </w:rPr>
              <w:t>CAICT</w:t>
            </w:r>
          </w:p>
        </w:tc>
        <w:tc>
          <w:tcPr>
            <w:tcW w:w="8744" w:type="dxa"/>
            <w:vAlign w:val="center"/>
          </w:tcPr>
          <w:p w14:paraId="7F451F3E" w14:textId="77777777" w:rsidR="00AA4AC8" w:rsidRDefault="0082369C">
            <w:pPr>
              <w:snapToGrid w:val="0"/>
              <w:spacing w:after="0"/>
              <w:rPr>
                <w:sz w:val="18"/>
              </w:rPr>
            </w:pPr>
            <w:r>
              <w:rPr>
                <w:sz w:val="18"/>
              </w:rPr>
              <w:t>Proposal 1: For Type-1 HARQ codebook, if DCIs carrying the feedback-disabled and feedback-enabled HARQ processes are detected by UE, the UE will report NACK/ACK for the feedback-disabled HARQ process depending on the decoding results of corresponding PDSCH.</w:t>
            </w:r>
          </w:p>
          <w:p w14:paraId="19CC8DBA" w14:textId="77777777" w:rsidR="00AA4AC8" w:rsidRDefault="0082369C">
            <w:pPr>
              <w:snapToGrid w:val="0"/>
              <w:spacing w:after="0"/>
              <w:rPr>
                <w:sz w:val="18"/>
              </w:rPr>
            </w:pPr>
            <w:r>
              <w:rPr>
                <w:sz w:val="18"/>
              </w:rPr>
              <w:t>Proposal 2: For Type-1 HARQ-ACK codebook, if only DCI carrying feedback-disabled HARQ process is detected by UE, the UE should skip the codebook feedback when it is not multiplexed with other feedback in the same UCI (option 1a).</w:t>
            </w:r>
          </w:p>
          <w:p w14:paraId="5765EA51" w14:textId="77777777" w:rsidR="00AA4AC8" w:rsidRDefault="0082369C">
            <w:pPr>
              <w:snapToGrid w:val="0"/>
              <w:spacing w:after="0"/>
              <w:rPr>
                <w:sz w:val="18"/>
              </w:rPr>
            </w:pPr>
            <w:r>
              <w:rPr>
                <w:sz w:val="18"/>
              </w:rPr>
              <w:t>Observation 1: The HARQ-feedback configuration for SPS PDSCH should be separated by the HARQ-feedback configuration for DG-PDSCH.</w:t>
            </w:r>
          </w:p>
          <w:p w14:paraId="7BDB05C8" w14:textId="77777777" w:rsidR="00AA4AC8" w:rsidRDefault="0082369C">
            <w:pPr>
              <w:snapToGrid w:val="0"/>
              <w:spacing w:after="0"/>
              <w:rPr>
                <w:sz w:val="18"/>
              </w:rPr>
            </w:pPr>
            <w:r>
              <w:rPr>
                <w:sz w:val="18"/>
              </w:rPr>
              <w:t>Proposal 3: HARQ-feedback configuration for DL SPS is configured per SPS by RRC.</w:t>
            </w:r>
          </w:p>
          <w:p w14:paraId="1C79BA20" w14:textId="77777777" w:rsidR="00AA4AC8" w:rsidRDefault="0082369C">
            <w:pPr>
              <w:snapToGrid w:val="0"/>
              <w:spacing w:after="0"/>
              <w:rPr>
                <w:sz w:val="18"/>
              </w:rPr>
            </w:pPr>
            <w:r>
              <w:rPr>
                <w:sz w:val="18"/>
              </w:rPr>
              <w:t>Proposal 4: Try to get consistent assumptions about whether the SPS is activated at gNB and UE side when HARQ-feedback is disabled for SPS PDSCH.</w:t>
            </w:r>
          </w:p>
          <w:p w14:paraId="04E629D5" w14:textId="77777777" w:rsidR="00AA4AC8" w:rsidRDefault="0082369C">
            <w:pPr>
              <w:snapToGrid w:val="0"/>
              <w:spacing w:after="0"/>
              <w:rPr>
                <w:sz w:val="18"/>
              </w:rPr>
            </w:pPr>
            <w:r>
              <w:rPr>
                <w:sz w:val="18"/>
              </w:rPr>
              <w:t>Proposal 5: For SPS PDSCH activation, HARQ-ACK corresponds to the DCI carrying the activation is reported when HARQ-feedback is disabled for the SPS PDSCH. For Type-2 HARQ-ACK codebook, DAI should be increased in the DCI indicating SPS activation.</w:t>
            </w:r>
          </w:p>
          <w:p w14:paraId="0CDF7971" w14:textId="77777777" w:rsidR="00AA4AC8" w:rsidRDefault="00AA4AC8">
            <w:pPr>
              <w:snapToGrid w:val="0"/>
              <w:spacing w:after="0"/>
              <w:jc w:val="both"/>
              <w:rPr>
                <w:sz w:val="18"/>
              </w:rPr>
            </w:pPr>
          </w:p>
        </w:tc>
      </w:tr>
      <w:tr w:rsidR="00AA4AC8" w14:paraId="3EE4A875" w14:textId="77777777">
        <w:trPr>
          <w:trHeight w:val="398"/>
          <w:jc w:val="center"/>
        </w:trPr>
        <w:tc>
          <w:tcPr>
            <w:tcW w:w="1883" w:type="dxa"/>
            <w:shd w:val="clear" w:color="auto" w:fill="auto"/>
            <w:vAlign w:val="center"/>
          </w:tcPr>
          <w:p w14:paraId="3CD54405" w14:textId="77777777" w:rsidR="00AA4AC8" w:rsidRDefault="0082369C">
            <w:pPr>
              <w:snapToGrid w:val="0"/>
              <w:spacing w:after="0"/>
              <w:jc w:val="center"/>
              <w:rPr>
                <w:sz w:val="18"/>
              </w:rPr>
            </w:pPr>
            <w:r>
              <w:rPr>
                <w:sz w:val="18"/>
              </w:rPr>
              <w:lastRenderedPageBreak/>
              <w:t xml:space="preserve">R1-2111660 </w:t>
            </w:r>
          </w:p>
          <w:p w14:paraId="5C9F5AD7" w14:textId="77777777" w:rsidR="00AA4AC8" w:rsidRDefault="0082369C">
            <w:pPr>
              <w:snapToGrid w:val="0"/>
              <w:spacing w:after="0"/>
              <w:jc w:val="center"/>
              <w:rPr>
                <w:sz w:val="18"/>
              </w:rPr>
            </w:pPr>
            <w:r>
              <w:rPr>
                <w:sz w:val="18"/>
              </w:rPr>
              <w:t>ZTE</w:t>
            </w:r>
          </w:p>
        </w:tc>
        <w:tc>
          <w:tcPr>
            <w:tcW w:w="8744" w:type="dxa"/>
            <w:vAlign w:val="center"/>
          </w:tcPr>
          <w:p w14:paraId="686CE0F1" w14:textId="77777777" w:rsidR="00AA4AC8" w:rsidRDefault="0082369C">
            <w:pPr>
              <w:snapToGrid w:val="0"/>
              <w:spacing w:after="0"/>
              <w:rPr>
                <w:sz w:val="18"/>
              </w:rPr>
            </w:pPr>
            <w:r>
              <w:rPr>
                <w:sz w:val="18"/>
              </w:rPr>
              <w:t xml:space="preserve">Proposal 1: In Type-1 codebook, </w:t>
            </w:r>
          </w:p>
          <w:p w14:paraId="33FE5A8A" w14:textId="77777777" w:rsidR="00AA4AC8" w:rsidRDefault="0082369C">
            <w:pPr>
              <w:numPr>
                <w:ilvl w:val="0"/>
                <w:numId w:val="12"/>
              </w:numPr>
              <w:overflowPunct/>
              <w:autoSpaceDE/>
              <w:autoSpaceDN/>
              <w:snapToGrid w:val="0"/>
              <w:spacing w:after="0"/>
              <w:textAlignment w:val="auto"/>
              <w:rPr>
                <w:bCs/>
                <w:sz w:val="18"/>
              </w:rPr>
            </w:pPr>
            <w:r>
              <w:rPr>
                <w:sz w:val="18"/>
              </w:rPr>
              <w:t>If DCIs carrying the feedback-disabled and feedback-enabled HARQ processes are detected by UE, t</w:t>
            </w:r>
            <w:r>
              <w:rPr>
                <w:bCs/>
                <w:sz w:val="18"/>
              </w:rPr>
              <w:t>he UE will r</w:t>
            </w:r>
            <w:r>
              <w:rPr>
                <w:sz w:val="18"/>
              </w:rPr>
              <w:t>eport NACK only for the feedback-disabled HARQ process regardless of decoding results of corresponding PDSCH</w:t>
            </w:r>
          </w:p>
          <w:p w14:paraId="3FE42392" w14:textId="77777777" w:rsidR="00AA4AC8" w:rsidRDefault="0082369C">
            <w:pPr>
              <w:numPr>
                <w:ilvl w:val="0"/>
                <w:numId w:val="12"/>
              </w:numPr>
              <w:overflowPunct/>
              <w:autoSpaceDE/>
              <w:autoSpaceDN/>
              <w:snapToGrid w:val="0"/>
              <w:spacing w:after="0"/>
              <w:textAlignment w:val="auto"/>
              <w:rPr>
                <w:bCs/>
                <w:sz w:val="18"/>
              </w:rPr>
            </w:pPr>
            <w:r>
              <w:rPr>
                <w:sz w:val="18"/>
              </w:rPr>
              <w:t>If only DCI carrying feedback-disabled HARQ process is detected by UE, the UE should skip the codebook feedback.</w:t>
            </w:r>
          </w:p>
          <w:p w14:paraId="2E355DCC" w14:textId="77777777" w:rsidR="00AA4AC8" w:rsidRDefault="0082369C">
            <w:pPr>
              <w:snapToGrid w:val="0"/>
              <w:spacing w:after="0"/>
              <w:rPr>
                <w:sz w:val="18"/>
              </w:rPr>
            </w:pPr>
            <w:r>
              <w:rPr>
                <w:sz w:val="18"/>
              </w:rPr>
              <w:t>Proposal 2: In Type-2 codebook, for the DCI of PDSCH with feedback-disabled HARQ processes, the C-DAI and T-DAI value should be directly ignored by UE.</w:t>
            </w:r>
          </w:p>
          <w:p w14:paraId="505C3912" w14:textId="77777777" w:rsidR="00AA4AC8" w:rsidRDefault="0082369C">
            <w:pPr>
              <w:snapToGrid w:val="0"/>
              <w:spacing w:after="0"/>
              <w:rPr>
                <w:sz w:val="18"/>
              </w:rPr>
            </w:pPr>
            <w:r>
              <w:rPr>
                <w:sz w:val="18"/>
              </w:rPr>
              <w:t>Proposal 3: For Type-3 codebook, enhancement can be enabled by only allowing the ACK-NACK generation for HARQ process with enabled feedback.</w:t>
            </w:r>
          </w:p>
          <w:p w14:paraId="7D0638D5" w14:textId="77777777" w:rsidR="00AA4AC8" w:rsidRDefault="0082369C">
            <w:pPr>
              <w:snapToGrid w:val="0"/>
              <w:spacing w:after="0"/>
              <w:rPr>
                <w:sz w:val="18"/>
              </w:rPr>
            </w:pPr>
            <w:r>
              <w:rPr>
                <w:sz w:val="18"/>
              </w:rPr>
              <w:t>Proposal 4: For joint scheduling with feedback enable and disabled process, the legacy restriction on the out-of-order HARQ timing restriction should be kept.</w:t>
            </w:r>
          </w:p>
          <w:p w14:paraId="72BF46A7" w14:textId="77777777" w:rsidR="00AA4AC8" w:rsidRDefault="0082369C">
            <w:pPr>
              <w:snapToGrid w:val="0"/>
              <w:spacing w:after="0"/>
              <w:rPr>
                <w:sz w:val="18"/>
              </w:rPr>
            </w:pPr>
            <w:r>
              <w:rPr>
                <w:sz w:val="18"/>
              </w:rPr>
              <w:t xml:space="preserve">Proposal 5: No optimization on the bit field related to the HARQ feedback is considered for the DCI associated with feedback-disabled HARQ process. </w:t>
            </w:r>
          </w:p>
          <w:p w14:paraId="2F065780" w14:textId="77777777" w:rsidR="00AA4AC8" w:rsidRDefault="0082369C">
            <w:pPr>
              <w:snapToGrid w:val="0"/>
              <w:spacing w:after="0"/>
              <w:rPr>
                <w:sz w:val="18"/>
              </w:rPr>
            </w:pPr>
            <w:r>
              <w:rPr>
                <w:sz w:val="18"/>
              </w:rPr>
              <w:t>Proposal 6: Confirming that the feedback for the HARQ process associated to SPS PDSCH can be disabled by RRC configuration per HARQ process.</w:t>
            </w:r>
          </w:p>
          <w:p w14:paraId="21579375" w14:textId="77777777" w:rsidR="00AA4AC8" w:rsidRDefault="0082369C">
            <w:pPr>
              <w:snapToGrid w:val="0"/>
              <w:spacing w:after="0"/>
              <w:rPr>
                <w:sz w:val="18"/>
              </w:rPr>
            </w:pPr>
            <w:r>
              <w:rPr>
                <w:sz w:val="18"/>
              </w:rPr>
              <w:t>Proposal 7: Regarding the HACK-ACK feedback for SPS PDSCH:</w:t>
            </w:r>
          </w:p>
          <w:p w14:paraId="37C0ADB2" w14:textId="77777777" w:rsidR="00AA4AC8" w:rsidRDefault="0082369C">
            <w:pPr>
              <w:numPr>
                <w:ilvl w:val="0"/>
                <w:numId w:val="35"/>
              </w:numPr>
              <w:overflowPunct/>
              <w:autoSpaceDE/>
              <w:autoSpaceDN/>
              <w:snapToGrid w:val="0"/>
              <w:spacing w:after="0"/>
              <w:textAlignment w:val="auto"/>
              <w:rPr>
                <w:sz w:val="18"/>
              </w:rPr>
            </w:pPr>
            <w:r>
              <w:rPr>
                <w:sz w:val="18"/>
              </w:rPr>
              <w:t>No feedback is expected for the SPS PDSCH associated with feedback-disabled HARQ process</w:t>
            </w:r>
          </w:p>
          <w:p w14:paraId="75D4565C" w14:textId="77777777" w:rsidR="00AA4AC8" w:rsidRDefault="0082369C">
            <w:pPr>
              <w:numPr>
                <w:ilvl w:val="0"/>
                <w:numId w:val="35"/>
              </w:numPr>
              <w:shd w:val="clear" w:color="auto" w:fill="FFFFFF"/>
              <w:overflowPunct/>
              <w:autoSpaceDE/>
              <w:autoSpaceDN/>
              <w:snapToGrid w:val="0"/>
              <w:spacing w:after="0"/>
              <w:textAlignment w:val="auto"/>
              <w:rPr>
                <w:sz w:val="18"/>
              </w:rPr>
            </w:pPr>
            <w:r>
              <w:rPr>
                <w:sz w:val="18"/>
              </w:rPr>
              <w:t>For DCI indicating SPS PDSCH activation, DAI is increased for the DCI indicating SPS activation and ACK/NACK is reported by UE regardless of network configuration of enabled/disabled HARQ feedback for the first SPS PDSCH.</w:t>
            </w:r>
          </w:p>
          <w:p w14:paraId="6E01F94F" w14:textId="77777777" w:rsidR="00AA4AC8" w:rsidRDefault="0082369C">
            <w:pPr>
              <w:snapToGrid w:val="0"/>
              <w:spacing w:after="0"/>
              <w:rPr>
                <w:sz w:val="18"/>
              </w:rPr>
            </w:pPr>
            <w:r>
              <w:rPr>
                <w:sz w:val="18"/>
              </w:rPr>
              <w:t>Proposal 8: The maximum number of supported aggregation factor (i.e., pdsch-AggregationFactor) for DL PDSCH can be extended to 16.</w:t>
            </w:r>
          </w:p>
          <w:p w14:paraId="5CC64F7F" w14:textId="77777777" w:rsidR="00AA4AC8" w:rsidRDefault="00AA4AC8">
            <w:pPr>
              <w:snapToGrid w:val="0"/>
              <w:spacing w:after="0"/>
              <w:rPr>
                <w:sz w:val="18"/>
              </w:rPr>
            </w:pPr>
          </w:p>
        </w:tc>
      </w:tr>
      <w:tr w:rsidR="00AA4AC8" w14:paraId="11FE7303" w14:textId="77777777">
        <w:trPr>
          <w:trHeight w:val="398"/>
          <w:jc w:val="center"/>
        </w:trPr>
        <w:tc>
          <w:tcPr>
            <w:tcW w:w="1883" w:type="dxa"/>
            <w:shd w:val="clear" w:color="auto" w:fill="auto"/>
            <w:vAlign w:val="center"/>
          </w:tcPr>
          <w:p w14:paraId="651F6ADE" w14:textId="77777777" w:rsidR="00AA4AC8" w:rsidRDefault="0082369C">
            <w:pPr>
              <w:snapToGrid w:val="0"/>
              <w:spacing w:after="0"/>
              <w:jc w:val="center"/>
              <w:rPr>
                <w:sz w:val="18"/>
              </w:rPr>
            </w:pPr>
            <w:r>
              <w:rPr>
                <w:sz w:val="18"/>
              </w:rPr>
              <w:t>R1-2111736</w:t>
            </w:r>
          </w:p>
          <w:p w14:paraId="0153A2BD" w14:textId="77777777" w:rsidR="00AA4AC8" w:rsidRDefault="0082369C">
            <w:pPr>
              <w:snapToGrid w:val="0"/>
              <w:spacing w:after="0"/>
              <w:jc w:val="center"/>
              <w:rPr>
                <w:sz w:val="18"/>
              </w:rPr>
            </w:pPr>
            <w:r>
              <w:rPr>
                <w:sz w:val="18"/>
              </w:rPr>
              <w:t>Samsung</w:t>
            </w:r>
          </w:p>
        </w:tc>
        <w:tc>
          <w:tcPr>
            <w:tcW w:w="8744" w:type="dxa"/>
            <w:vAlign w:val="center"/>
          </w:tcPr>
          <w:p w14:paraId="0096E935" w14:textId="77777777" w:rsidR="00AA4AC8" w:rsidRDefault="0082369C">
            <w:pPr>
              <w:suppressAutoHyphens/>
              <w:snapToGrid w:val="0"/>
              <w:spacing w:after="0"/>
              <w:jc w:val="both"/>
              <w:rPr>
                <w:bCs/>
                <w:kern w:val="2"/>
                <w:sz w:val="18"/>
                <w:u w:val="single"/>
                <w:lang w:eastAsia="ja-JP"/>
              </w:rPr>
            </w:pPr>
            <w:r>
              <w:rPr>
                <w:bCs/>
                <w:kern w:val="2"/>
                <w:sz w:val="18"/>
                <w:u w:val="single"/>
                <w:lang w:eastAsia="ja-JP"/>
              </w:rPr>
              <w:t xml:space="preserve">Proposal 1: Support either for </w:t>
            </w:r>
            <w:r>
              <w:rPr>
                <w:sz w:val="18"/>
                <w:u w:val="single"/>
              </w:rPr>
              <w:t xml:space="preserve">a UE to not expect retransmissions of TBs with disabled HARQ-ACK reports or for a UE to provide capability signaling for whether it can store LLRs of TBs with disabled HARQ-ACK reports. </w:t>
            </w:r>
          </w:p>
          <w:p w14:paraId="387D40BD" w14:textId="77777777" w:rsidR="00AA4AC8" w:rsidRDefault="0082369C">
            <w:pPr>
              <w:suppressAutoHyphens/>
              <w:snapToGrid w:val="0"/>
              <w:spacing w:after="0"/>
              <w:jc w:val="both"/>
              <w:rPr>
                <w:sz w:val="18"/>
                <w:u w:val="single"/>
              </w:rPr>
            </w:pPr>
            <w:r>
              <w:rPr>
                <w:bCs/>
                <w:kern w:val="2"/>
                <w:sz w:val="18"/>
                <w:u w:val="single"/>
                <w:lang w:eastAsia="ja-JP"/>
              </w:rPr>
              <w:t>Proposal 2:</w:t>
            </w:r>
            <w:r>
              <w:rPr>
                <w:sz w:val="18"/>
                <w:u w:val="single"/>
              </w:rPr>
              <w:t xml:space="preserve"> For the Type-1 HARQ-ACK codebook, conclude on one of the following alternatives for the value of HARQ-ACK bits for TBs with disabled HARQ processes</w:t>
            </w:r>
          </w:p>
          <w:p w14:paraId="382977A0" w14:textId="77777777" w:rsidR="00AA4AC8" w:rsidRDefault="0082369C">
            <w:pPr>
              <w:pStyle w:val="afc"/>
              <w:numPr>
                <w:ilvl w:val="0"/>
                <w:numId w:val="36"/>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HARQ-ACK bits for TBs with disabled HARQ processes have a predetermined value (e.g. NACK value)</w:t>
            </w:r>
          </w:p>
          <w:p w14:paraId="29DF0201" w14:textId="77777777" w:rsidR="00AA4AC8" w:rsidRDefault="0082369C">
            <w:pPr>
              <w:pStyle w:val="afc"/>
              <w:numPr>
                <w:ilvl w:val="0"/>
                <w:numId w:val="36"/>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The value of HARQ-ACK bits for TBs with disabled HARQ processes is not defined – no further agreement is needed for the Type-1 HARQ-ACK codebook</w:t>
            </w:r>
          </w:p>
          <w:p w14:paraId="6B5CA1C6" w14:textId="77777777" w:rsidR="00AA4AC8" w:rsidRDefault="0082369C">
            <w:pPr>
              <w:pStyle w:val="afc"/>
              <w:numPr>
                <w:ilvl w:val="0"/>
                <w:numId w:val="36"/>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The Type-1 HARQ-ACK codebook is not supported for NTN</w:t>
            </w:r>
          </w:p>
          <w:p w14:paraId="5BB718B9" w14:textId="77777777" w:rsidR="00AA4AC8" w:rsidRDefault="0082369C">
            <w:pPr>
              <w:suppressAutoHyphens/>
              <w:snapToGrid w:val="0"/>
              <w:spacing w:after="0"/>
              <w:jc w:val="both"/>
              <w:rPr>
                <w:sz w:val="18"/>
                <w:u w:val="single"/>
              </w:rPr>
            </w:pPr>
            <w:r>
              <w:rPr>
                <w:bCs/>
                <w:kern w:val="2"/>
                <w:sz w:val="18"/>
                <w:u w:val="single"/>
                <w:lang w:eastAsia="ja-JP"/>
              </w:rPr>
              <w:t>Proposal 3:</w:t>
            </w:r>
            <w:r>
              <w:rPr>
                <w:sz w:val="18"/>
                <w:u w:val="single"/>
              </w:rPr>
              <w:t xml:space="preserve"> No differentiation of the UE behavior in case a Type-1 HARQ-ACK codebook does not include HARQ-ACK information for a HARQ process with enable HARQ-ACK report (Option 1).</w:t>
            </w:r>
          </w:p>
          <w:p w14:paraId="1A3C4B59" w14:textId="77777777" w:rsidR="00AA4AC8" w:rsidRDefault="0082369C">
            <w:pPr>
              <w:suppressAutoHyphens/>
              <w:snapToGrid w:val="0"/>
              <w:spacing w:after="0"/>
              <w:jc w:val="both"/>
              <w:rPr>
                <w:sz w:val="18"/>
                <w:u w:val="single"/>
              </w:rPr>
            </w:pPr>
            <w:r>
              <w:rPr>
                <w:bCs/>
                <w:kern w:val="2"/>
                <w:sz w:val="18"/>
                <w:u w:val="single"/>
                <w:lang w:eastAsia="ja-JP"/>
              </w:rPr>
              <w:t>Proposal 4:</w:t>
            </w:r>
            <w:r>
              <w:rPr>
                <w:sz w:val="18"/>
                <w:u w:val="single"/>
              </w:rPr>
              <w:t xml:space="preserve"> For the Type-3 HARQ-ACK codebook, conclude on one of the following alternatives for the value of HARQ-ACK bits for TBs with disabled HARQ processes</w:t>
            </w:r>
          </w:p>
          <w:p w14:paraId="16235C84" w14:textId="77777777" w:rsidR="00AA4AC8" w:rsidRDefault="0082369C">
            <w:pPr>
              <w:pStyle w:val="afc"/>
              <w:numPr>
                <w:ilvl w:val="0"/>
                <w:numId w:val="37"/>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HARQ-ACK bits for TBs with disabled HARQ processes are not included in the Type-3 codebook</w:t>
            </w:r>
          </w:p>
          <w:p w14:paraId="65A0FCDB" w14:textId="77777777" w:rsidR="00AA4AC8" w:rsidRDefault="0082369C">
            <w:pPr>
              <w:pStyle w:val="afc"/>
              <w:numPr>
                <w:ilvl w:val="0"/>
                <w:numId w:val="37"/>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The value of HARQ-ACK bits for TBs with disabled HARQ processes is not defined – no further agreement is needed for the Type-3 HARQ-ACK codebook</w:t>
            </w:r>
          </w:p>
          <w:p w14:paraId="6C1153A5" w14:textId="77777777" w:rsidR="00AA4AC8" w:rsidRDefault="0082369C">
            <w:pPr>
              <w:pStyle w:val="afc"/>
              <w:numPr>
                <w:ilvl w:val="0"/>
                <w:numId w:val="37"/>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The Type-3 HARQ-ACK codebook is not supported for NTN</w:t>
            </w:r>
          </w:p>
          <w:p w14:paraId="6FC2C4F8" w14:textId="77777777" w:rsidR="00AA4AC8" w:rsidRDefault="0082369C">
            <w:pPr>
              <w:snapToGrid w:val="0"/>
              <w:spacing w:after="0"/>
              <w:jc w:val="both"/>
              <w:rPr>
                <w:sz w:val="18"/>
                <w:u w:val="single"/>
              </w:rPr>
            </w:pPr>
            <w:r>
              <w:rPr>
                <w:sz w:val="18"/>
                <w:u w:val="single"/>
              </w:rPr>
              <w:t xml:space="preserve">Proposal 5: A DCI format 1_1 for a HARQ process with disabled HARQ-ACK does not include the PRI, </w:t>
            </w:r>
            <w:r>
              <w:rPr>
                <w:bCs/>
                <w:sz w:val="18"/>
                <w:u w:val="single"/>
              </w:rPr>
              <w:t>PUSCH-to-HARQ_feedback timing and counter DAI and is size matched to DCI format 0_1</w:t>
            </w:r>
            <w:r>
              <w:rPr>
                <w:sz w:val="18"/>
                <w:u w:val="single"/>
              </w:rPr>
              <w:t>.</w:t>
            </w:r>
          </w:p>
          <w:p w14:paraId="1E0B4AD1" w14:textId="77777777" w:rsidR="00AA4AC8" w:rsidRDefault="0082369C">
            <w:pPr>
              <w:snapToGrid w:val="0"/>
              <w:spacing w:after="0"/>
              <w:jc w:val="both"/>
              <w:rPr>
                <w:sz w:val="18"/>
                <w:u w:val="single"/>
              </w:rPr>
            </w:pPr>
            <w:r>
              <w:rPr>
                <w:bCs/>
                <w:kern w:val="2"/>
                <w:sz w:val="18"/>
                <w:u w:val="single"/>
                <w:lang w:eastAsia="ja-JP"/>
              </w:rPr>
              <w:t xml:space="preserve">Proposal 6: </w:t>
            </w:r>
            <w:r>
              <w:rPr>
                <w:sz w:val="18"/>
                <w:u w:val="single"/>
              </w:rPr>
              <w:t xml:space="preserve">To enable up to 32 HARQ processes without increasing the soft buffer size, support one of the following: </w:t>
            </w:r>
          </w:p>
          <w:p w14:paraId="3241FCFB" w14:textId="77777777" w:rsidR="00AA4AC8" w:rsidRDefault="0082369C">
            <w:pPr>
              <w:pStyle w:val="afc"/>
              <w:widowControl w:val="0"/>
              <w:numPr>
                <w:ilvl w:val="0"/>
                <w:numId w:val="38"/>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 xml:space="preserve">Option 1. gNB informs a maximum TBS and UE reports its capability for a number of HARQ processes. </w:t>
            </w:r>
          </w:p>
          <w:p w14:paraId="289306D9" w14:textId="77777777" w:rsidR="00AA4AC8" w:rsidRDefault="0082369C">
            <w:pPr>
              <w:pStyle w:val="afc"/>
              <w:widowControl w:val="0"/>
              <w:numPr>
                <w:ilvl w:val="0"/>
                <w:numId w:val="38"/>
              </w:numPr>
              <w:suppressAutoHyphens/>
              <w:adjustRightInd w:val="0"/>
              <w:snapToGrid w:val="0"/>
              <w:jc w:val="both"/>
              <w:rPr>
                <w:rFonts w:ascii="Times New Roman" w:hAnsi="Times New Roman"/>
                <w:sz w:val="18"/>
                <w:szCs w:val="20"/>
                <w:u w:val="single"/>
              </w:rPr>
            </w:pPr>
            <w:r>
              <w:rPr>
                <w:rFonts w:ascii="Times New Roman" w:hAnsi="Times New Roman"/>
                <w:sz w:val="18"/>
                <w:szCs w:val="20"/>
                <w:u w:val="single"/>
              </w:rPr>
              <w:t xml:space="preserve">Option 2. UE reports separate capabilities for a number of predefined pairs of {maximum number of HARQ processes, maximum TBS}. </w:t>
            </w:r>
          </w:p>
          <w:p w14:paraId="2B7A6842" w14:textId="77777777" w:rsidR="00AA4AC8" w:rsidRDefault="0082369C">
            <w:pPr>
              <w:snapToGrid w:val="0"/>
              <w:spacing w:after="0"/>
              <w:jc w:val="both"/>
              <w:rPr>
                <w:rFonts w:eastAsia="Malgun Gothic"/>
                <w:sz w:val="18"/>
                <w:lang w:eastAsia="ko-KR"/>
              </w:rPr>
            </w:pPr>
            <w:r>
              <w:rPr>
                <w:bCs/>
                <w:kern w:val="2"/>
                <w:sz w:val="18"/>
                <w:u w:val="single"/>
                <w:lang w:eastAsia="ja-JP"/>
              </w:rPr>
              <w:t xml:space="preserve">Proposal 7: </w:t>
            </w:r>
            <w:r>
              <w:rPr>
                <w:sz w:val="18"/>
                <w:u w:val="single"/>
              </w:rPr>
              <w:t>Support UE assistance information to indicate full soft buffer or to request HARQ-ACK enabling/disabling for HARQ processes.</w:t>
            </w:r>
          </w:p>
        </w:tc>
      </w:tr>
      <w:tr w:rsidR="00AA4AC8" w14:paraId="6CC5A318" w14:textId="77777777">
        <w:trPr>
          <w:trHeight w:val="398"/>
          <w:jc w:val="center"/>
        </w:trPr>
        <w:tc>
          <w:tcPr>
            <w:tcW w:w="1883" w:type="dxa"/>
            <w:shd w:val="clear" w:color="auto" w:fill="auto"/>
            <w:vAlign w:val="center"/>
          </w:tcPr>
          <w:p w14:paraId="698EF50E" w14:textId="77777777" w:rsidR="00AA4AC8" w:rsidRDefault="0082369C">
            <w:pPr>
              <w:snapToGrid w:val="0"/>
              <w:spacing w:after="0"/>
              <w:jc w:val="center"/>
              <w:rPr>
                <w:bCs/>
                <w:sz w:val="18"/>
              </w:rPr>
            </w:pPr>
            <w:r>
              <w:rPr>
                <w:bCs/>
                <w:sz w:val="18"/>
              </w:rPr>
              <w:tab/>
              <w:t>R1-2111822</w:t>
            </w:r>
          </w:p>
          <w:p w14:paraId="2C5C186B" w14:textId="77777777" w:rsidR="00AA4AC8" w:rsidRDefault="0082369C">
            <w:pPr>
              <w:snapToGrid w:val="0"/>
              <w:spacing w:after="0"/>
              <w:jc w:val="center"/>
              <w:rPr>
                <w:sz w:val="18"/>
              </w:rPr>
            </w:pPr>
            <w:r>
              <w:rPr>
                <w:bCs/>
                <w:sz w:val="18"/>
              </w:rPr>
              <w:t>IDC</w:t>
            </w:r>
          </w:p>
        </w:tc>
        <w:tc>
          <w:tcPr>
            <w:tcW w:w="8744" w:type="dxa"/>
            <w:vAlign w:val="center"/>
          </w:tcPr>
          <w:p w14:paraId="64217DC9" w14:textId="77777777" w:rsidR="00AA4AC8" w:rsidRDefault="0082369C">
            <w:pPr>
              <w:snapToGrid w:val="0"/>
              <w:spacing w:after="0"/>
              <w:jc w:val="both"/>
              <w:rPr>
                <w:rFonts w:eastAsia="Calibri"/>
                <w:bCs/>
                <w:iCs/>
                <w:sz w:val="18"/>
              </w:rPr>
            </w:pPr>
            <w:r>
              <w:rPr>
                <w:rFonts w:eastAsia="Calibri"/>
                <w:iCs/>
                <w:sz w:val="18"/>
              </w:rPr>
              <w:t>Observation-1:</w:t>
            </w:r>
            <w:r>
              <w:rPr>
                <w:rFonts w:eastAsia="Calibri"/>
                <w:bCs/>
                <w:iCs/>
                <w:sz w:val="18"/>
              </w:rPr>
              <w:t xml:space="preserve"> lowering target BLER for PDSCH when HARQ feedback is disabled is beneficial in terms of resource utilization and latency as it can reduce the number of retransmissions in higher layer</w:t>
            </w:r>
          </w:p>
          <w:p w14:paraId="73E37BB5" w14:textId="77777777" w:rsidR="00AA4AC8" w:rsidRDefault="0082369C">
            <w:pPr>
              <w:snapToGrid w:val="0"/>
              <w:spacing w:after="0"/>
              <w:rPr>
                <w:sz w:val="18"/>
              </w:rPr>
            </w:pPr>
            <w:r>
              <w:rPr>
                <w:rFonts w:eastAsia="Calibri"/>
                <w:iCs/>
                <w:sz w:val="18"/>
              </w:rPr>
              <w:t>Observation-2:</w:t>
            </w:r>
            <w:r>
              <w:rPr>
                <w:rFonts w:eastAsia="Calibri"/>
                <w:bCs/>
                <w:iCs/>
                <w:sz w:val="18"/>
              </w:rPr>
              <w:t xml:space="preserve"> use of a CQI table with a lower BLER target (e.g., 1%) could provide a better link adaptation with lower PDSCH BLER target when HARQ feedback is disabled</w:t>
            </w:r>
          </w:p>
          <w:p w14:paraId="790DB9F9" w14:textId="77777777" w:rsidR="00AA4AC8" w:rsidRDefault="0082369C">
            <w:pPr>
              <w:snapToGrid w:val="0"/>
              <w:spacing w:after="0"/>
              <w:jc w:val="both"/>
              <w:rPr>
                <w:rFonts w:eastAsia="Calibri"/>
                <w:bCs/>
                <w:iCs/>
                <w:sz w:val="18"/>
              </w:rPr>
            </w:pPr>
            <w:r>
              <w:rPr>
                <w:rFonts w:eastAsia="Calibri"/>
                <w:iCs/>
                <w:sz w:val="18"/>
              </w:rPr>
              <w:t>Proposal-1:</w:t>
            </w:r>
            <w:r>
              <w:rPr>
                <w:rFonts w:eastAsia="Calibri"/>
                <w:bCs/>
                <w:iCs/>
                <w:sz w:val="18"/>
              </w:rPr>
              <w:t xml:space="preserve"> the maximum number of aggregated slots is increased to 32</w:t>
            </w:r>
          </w:p>
          <w:p w14:paraId="1EA482F7" w14:textId="77777777" w:rsidR="00AA4AC8" w:rsidRDefault="0082369C">
            <w:pPr>
              <w:snapToGrid w:val="0"/>
              <w:spacing w:after="0"/>
              <w:jc w:val="both"/>
              <w:rPr>
                <w:rFonts w:eastAsia="Calibri"/>
                <w:bCs/>
                <w:iCs/>
                <w:sz w:val="18"/>
              </w:rPr>
            </w:pPr>
            <w:r>
              <w:rPr>
                <w:rFonts w:eastAsia="Calibri"/>
                <w:iCs/>
                <w:sz w:val="18"/>
              </w:rPr>
              <w:t>Proposal-2:</w:t>
            </w:r>
            <w:r>
              <w:rPr>
                <w:rFonts w:eastAsia="Calibri"/>
                <w:bCs/>
                <w:iCs/>
                <w:sz w:val="18"/>
              </w:rPr>
              <w:t xml:space="preserve"> slot aggregation number for a PDSCH is dynamically indicated in DCI</w:t>
            </w:r>
          </w:p>
          <w:p w14:paraId="2840FACC" w14:textId="77777777" w:rsidR="00AA4AC8" w:rsidRDefault="0082369C">
            <w:pPr>
              <w:snapToGrid w:val="0"/>
              <w:spacing w:after="0"/>
              <w:jc w:val="both"/>
              <w:rPr>
                <w:rFonts w:eastAsia="Calibri"/>
                <w:bCs/>
                <w:iCs/>
                <w:sz w:val="18"/>
              </w:rPr>
            </w:pPr>
            <w:r>
              <w:rPr>
                <w:rFonts w:eastAsia="Calibri"/>
                <w:iCs/>
                <w:sz w:val="18"/>
              </w:rPr>
              <w:t>Proposal-3:</w:t>
            </w:r>
            <w:r>
              <w:rPr>
                <w:rFonts w:eastAsia="Calibri"/>
                <w:bCs/>
                <w:iCs/>
                <w:sz w:val="18"/>
              </w:rPr>
              <w:t xml:space="preserve"> a larger slot aggregation number for a PDSCH can be also used when HARQ feedback is enabled.</w:t>
            </w:r>
          </w:p>
          <w:p w14:paraId="5FE23F5F" w14:textId="77777777" w:rsidR="00AA4AC8" w:rsidRDefault="0082369C">
            <w:pPr>
              <w:snapToGrid w:val="0"/>
              <w:spacing w:after="0"/>
              <w:jc w:val="both"/>
              <w:rPr>
                <w:rFonts w:eastAsia="Calibri"/>
                <w:bCs/>
                <w:iCs/>
                <w:sz w:val="18"/>
              </w:rPr>
            </w:pPr>
            <w:r>
              <w:rPr>
                <w:rFonts w:eastAsia="Calibri"/>
                <w:iCs/>
                <w:sz w:val="18"/>
              </w:rPr>
              <w:t>Proposal-4:</w:t>
            </w:r>
            <w:r>
              <w:rPr>
                <w:rFonts w:eastAsia="Calibri"/>
                <w:bCs/>
                <w:iCs/>
                <w:sz w:val="18"/>
              </w:rPr>
              <w:t xml:space="preserve"> a CQI table with a new target BLER (e.g., 1%) is considered when HARQ feedback is disabled</w:t>
            </w:r>
          </w:p>
          <w:p w14:paraId="05A6027F" w14:textId="77777777" w:rsidR="00AA4AC8" w:rsidRDefault="0082369C">
            <w:pPr>
              <w:snapToGrid w:val="0"/>
              <w:spacing w:after="0"/>
              <w:jc w:val="both"/>
              <w:rPr>
                <w:sz w:val="18"/>
              </w:rPr>
            </w:pPr>
            <w:r>
              <w:rPr>
                <w:iCs/>
                <w:sz w:val="18"/>
              </w:rPr>
              <w:t>Proposal-5:</w:t>
            </w:r>
            <w:r>
              <w:rPr>
                <w:bCs/>
                <w:iCs/>
                <w:sz w:val="18"/>
              </w:rPr>
              <w:t xml:space="preserve"> HARQ feedback is enabled for at least one HARQ process number</w:t>
            </w:r>
          </w:p>
          <w:p w14:paraId="4CBA7397" w14:textId="77777777" w:rsidR="00AA4AC8" w:rsidRDefault="0082369C">
            <w:pPr>
              <w:snapToGrid w:val="0"/>
              <w:spacing w:after="0"/>
              <w:jc w:val="both"/>
              <w:rPr>
                <w:bCs/>
                <w:iCs/>
                <w:sz w:val="18"/>
              </w:rPr>
            </w:pPr>
            <w:r>
              <w:rPr>
                <w:iCs/>
                <w:sz w:val="18"/>
              </w:rPr>
              <w:t>Proposal-6:</w:t>
            </w:r>
            <w:r>
              <w:rPr>
                <w:bCs/>
                <w:iCs/>
                <w:sz w:val="18"/>
              </w:rPr>
              <w:t xml:space="preserve"> the PDSCH carrying MAC-CE command is transmitted in the HARQ process with HARQ feedback enabled</w:t>
            </w:r>
          </w:p>
          <w:p w14:paraId="27F13D33" w14:textId="77777777" w:rsidR="00AA4AC8" w:rsidRDefault="0082369C">
            <w:pPr>
              <w:snapToGrid w:val="0"/>
              <w:spacing w:after="0"/>
              <w:jc w:val="both"/>
              <w:rPr>
                <w:sz w:val="18"/>
              </w:rPr>
            </w:pPr>
            <w:r>
              <w:rPr>
                <w:iCs/>
                <w:sz w:val="18"/>
              </w:rPr>
              <w:t>Proposal-7:</w:t>
            </w:r>
            <w:r>
              <w:rPr>
                <w:bCs/>
                <w:iCs/>
                <w:sz w:val="18"/>
              </w:rPr>
              <w:t xml:space="preserve"> a UE is not expected to receive a MAC-CE command in a PDSCH associated with a HARQ process number of which HARQ feedback is disabled</w:t>
            </w:r>
          </w:p>
        </w:tc>
      </w:tr>
      <w:tr w:rsidR="00AA4AC8" w14:paraId="15BEC38E" w14:textId="77777777">
        <w:trPr>
          <w:trHeight w:val="398"/>
          <w:jc w:val="center"/>
        </w:trPr>
        <w:tc>
          <w:tcPr>
            <w:tcW w:w="1883" w:type="dxa"/>
            <w:shd w:val="clear" w:color="auto" w:fill="auto"/>
            <w:vAlign w:val="center"/>
          </w:tcPr>
          <w:p w14:paraId="750EBA30" w14:textId="77777777" w:rsidR="00AA4AC8" w:rsidRDefault="0082369C">
            <w:pPr>
              <w:snapToGrid w:val="0"/>
              <w:spacing w:after="0"/>
              <w:jc w:val="center"/>
              <w:rPr>
                <w:sz w:val="18"/>
              </w:rPr>
            </w:pPr>
            <w:r>
              <w:rPr>
                <w:sz w:val="18"/>
              </w:rPr>
              <w:t>R1-2111872</w:t>
            </w:r>
          </w:p>
          <w:p w14:paraId="5109C7FC" w14:textId="77777777" w:rsidR="00AA4AC8" w:rsidRDefault="0082369C">
            <w:pPr>
              <w:snapToGrid w:val="0"/>
              <w:spacing w:after="0"/>
              <w:jc w:val="center"/>
              <w:rPr>
                <w:sz w:val="18"/>
              </w:rPr>
            </w:pPr>
            <w:r>
              <w:rPr>
                <w:sz w:val="18"/>
              </w:rPr>
              <w:t>Apple</w:t>
            </w:r>
          </w:p>
        </w:tc>
        <w:tc>
          <w:tcPr>
            <w:tcW w:w="8744" w:type="dxa"/>
            <w:vAlign w:val="center"/>
          </w:tcPr>
          <w:p w14:paraId="7F49F4D2" w14:textId="77777777" w:rsidR="00AA4AC8" w:rsidRDefault="0082369C">
            <w:pPr>
              <w:snapToGrid w:val="0"/>
              <w:spacing w:after="0"/>
              <w:jc w:val="both"/>
              <w:rPr>
                <w:sz w:val="18"/>
              </w:rPr>
            </w:pPr>
            <w:r>
              <w:rPr>
                <w:sz w:val="18"/>
                <w:u w:val="single"/>
              </w:rPr>
              <w:t>Proposal 1:</w:t>
            </w:r>
            <w:r>
              <w:rPr>
                <w:sz w:val="18"/>
              </w:rPr>
              <w:t xml:space="preserve"> For Type-1 HARQ-ACK codebook, if DCIs carrying the feedback disabled and feedback enabled HARQ processes are detected by UE, the UE always reports NACK for the feedback disabled HARQ process. </w:t>
            </w:r>
          </w:p>
          <w:p w14:paraId="53421A2B" w14:textId="77777777" w:rsidR="00AA4AC8" w:rsidRDefault="0082369C">
            <w:pPr>
              <w:snapToGrid w:val="0"/>
              <w:spacing w:after="0"/>
              <w:jc w:val="both"/>
              <w:rPr>
                <w:sz w:val="18"/>
              </w:rPr>
            </w:pPr>
            <w:r>
              <w:rPr>
                <w:sz w:val="18"/>
                <w:u w:val="single"/>
              </w:rPr>
              <w:lastRenderedPageBreak/>
              <w:t>Proposal 2:</w:t>
            </w:r>
            <w:r>
              <w:rPr>
                <w:sz w:val="18"/>
              </w:rPr>
              <w:t xml:space="preserve"> For Type-1 HARQ-ACK codebook, if only DCI carrying feedback disabled HARQ process is detected by UE, the UE’s behavior is same as the case if DCIs carrying the feedback disabled and feedback enabled HARQ processes are detected by UE. </w:t>
            </w:r>
          </w:p>
          <w:p w14:paraId="29F2C375" w14:textId="77777777" w:rsidR="00AA4AC8" w:rsidRDefault="0082369C">
            <w:pPr>
              <w:snapToGrid w:val="0"/>
              <w:spacing w:after="0"/>
              <w:jc w:val="both"/>
              <w:rPr>
                <w:sz w:val="18"/>
              </w:rPr>
            </w:pPr>
            <w:r>
              <w:rPr>
                <w:sz w:val="18"/>
                <w:u w:val="single"/>
              </w:rPr>
              <w:t>Proposal 3:</w:t>
            </w:r>
            <w:r>
              <w:rPr>
                <w:sz w:val="18"/>
              </w:rPr>
              <w:t xml:space="preserve"> In Type-2 HARQ-ACK codebook construction, for the DCI of PDSCH with feedback disabled HARQ processes, C-DAI and T-DAI are given the count of feedback enabled processes.</w:t>
            </w:r>
          </w:p>
          <w:p w14:paraId="61411F31" w14:textId="77777777" w:rsidR="00AA4AC8" w:rsidRDefault="0082369C">
            <w:pPr>
              <w:snapToGrid w:val="0"/>
              <w:spacing w:after="0"/>
              <w:jc w:val="both"/>
              <w:rPr>
                <w:sz w:val="18"/>
              </w:rPr>
            </w:pPr>
            <w:r>
              <w:rPr>
                <w:sz w:val="18"/>
                <w:u w:val="single"/>
              </w:rPr>
              <w:t>Proposal 4:</w:t>
            </w:r>
            <w:r>
              <w:rPr>
                <w:sz w:val="18"/>
              </w:rPr>
              <w:t xml:space="preserve"> Enabling/disabling on HARQ-ACK feedback for all HARQ processes in a SPS is part of SPS configuration.</w:t>
            </w:r>
          </w:p>
          <w:p w14:paraId="1A5683C7" w14:textId="77777777" w:rsidR="00AA4AC8" w:rsidRDefault="0082369C">
            <w:pPr>
              <w:snapToGrid w:val="0"/>
              <w:spacing w:after="0"/>
              <w:jc w:val="both"/>
              <w:rPr>
                <w:sz w:val="18"/>
              </w:rPr>
            </w:pPr>
            <w:r>
              <w:rPr>
                <w:sz w:val="18"/>
                <w:u w:val="single"/>
              </w:rPr>
              <w:t>Proposal 5:</w:t>
            </w:r>
            <w:r>
              <w:rPr>
                <w:sz w:val="18"/>
              </w:rPr>
              <w:t xml:space="preserve"> Support to increase the aggregation factor for both dynamic grant PDSCH and SPS PDSCH. </w:t>
            </w:r>
          </w:p>
          <w:p w14:paraId="040A2F21" w14:textId="77777777" w:rsidR="00AA4AC8" w:rsidRDefault="0082369C">
            <w:pPr>
              <w:snapToGrid w:val="0"/>
              <w:spacing w:after="0"/>
              <w:jc w:val="both"/>
              <w:rPr>
                <w:rFonts w:eastAsia="MS Mincho"/>
                <w:sz w:val="18"/>
                <w:lang w:eastAsia="ja-JP"/>
              </w:rPr>
            </w:pPr>
            <w:r>
              <w:rPr>
                <w:sz w:val="18"/>
                <w:u w:val="single"/>
              </w:rPr>
              <w:t>Proposal 6:</w:t>
            </w:r>
            <w:r>
              <w:rPr>
                <w:sz w:val="18"/>
              </w:rPr>
              <w:t xml:space="preserve"> Consider an adjustable aggregation factor in SPS PDSCH transmission. </w:t>
            </w:r>
          </w:p>
        </w:tc>
      </w:tr>
      <w:tr w:rsidR="00AA4AC8" w14:paraId="774CFBA1" w14:textId="77777777">
        <w:trPr>
          <w:trHeight w:val="398"/>
          <w:jc w:val="center"/>
        </w:trPr>
        <w:tc>
          <w:tcPr>
            <w:tcW w:w="1883" w:type="dxa"/>
            <w:shd w:val="clear" w:color="auto" w:fill="auto"/>
            <w:vAlign w:val="center"/>
          </w:tcPr>
          <w:p w14:paraId="5260EBC3" w14:textId="77777777" w:rsidR="00AA4AC8" w:rsidRDefault="0082369C">
            <w:pPr>
              <w:snapToGrid w:val="0"/>
              <w:spacing w:after="0"/>
              <w:jc w:val="center"/>
              <w:rPr>
                <w:bCs/>
                <w:snapToGrid w:val="0"/>
                <w:sz w:val="18"/>
              </w:rPr>
            </w:pPr>
            <w:r>
              <w:rPr>
                <w:bCs/>
                <w:snapToGrid w:val="0"/>
                <w:sz w:val="18"/>
              </w:rPr>
              <w:lastRenderedPageBreak/>
              <w:t>R1-2111970</w:t>
            </w:r>
          </w:p>
          <w:p w14:paraId="6B417520" w14:textId="77777777" w:rsidR="00AA4AC8" w:rsidRDefault="0082369C">
            <w:pPr>
              <w:snapToGrid w:val="0"/>
              <w:spacing w:after="0"/>
              <w:jc w:val="center"/>
              <w:rPr>
                <w:sz w:val="18"/>
              </w:rPr>
            </w:pPr>
            <w:r>
              <w:rPr>
                <w:bCs/>
                <w:snapToGrid w:val="0"/>
                <w:sz w:val="18"/>
              </w:rPr>
              <w:t>LG</w:t>
            </w:r>
          </w:p>
        </w:tc>
        <w:tc>
          <w:tcPr>
            <w:tcW w:w="8744" w:type="dxa"/>
            <w:vAlign w:val="center"/>
          </w:tcPr>
          <w:p w14:paraId="49372BEF" w14:textId="77777777" w:rsidR="00AA4AC8" w:rsidRDefault="0082369C">
            <w:pPr>
              <w:snapToGrid w:val="0"/>
              <w:spacing w:after="0"/>
              <w:rPr>
                <w:rFonts w:eastAsiaTheme="minorEastAsia"/>
                <w:sz w:val="18"/>
              </w:rPr>
            </w:pPr>
            <w:r>
              <w:rPr>
                <w:rFonts w:eastAsiaTheme="minorEastAsia"/>
                <w:sz w:val="18"/>
              </w:rPr>
              <w:t xml:space="preserve">Proposal 1. For Type-1 HARQ-ACK codebook enhancement, UE ignores K1 and/or PRI field if DCIs carrying the feedback-disabled process are detected. </w:t>
            </w:r>
          </w:p>
          <w:p w14:paraId="649D4B76" w14:textId="77777777" w:rsidR="00AA4AC8" w:rsidRDefault="0082369C">
            <w:pPr>
              <w:snapToGrid w:val="0"/>
              <w:spacing w:after="0"/>
              <w:rPr>
                <w:rFonts w:eastAsiaTheme="minorEastAsia"/>
                <w:sz w:val="18"/>
              </w:rPr>
            </w:pPr>
            <w:r>
              <w:rPr>
                <w:rFonts w:eastAsiaTheme="minorEastAsia"/>
                <w:sz w:val="18"/>
              </w:rPr>
              <w:t>Proposal 2. For Type-2 HARQ-ACK codebook generation, the UE assume that the C-DAI and T-DAI of the DCI of PDSCH with feedback-disabled process is the same as the C-DAI and T-DAI of the most recently transmitted DCI of PDSCH with feedback-enabled process by gNB.</w:t>
            </w:r>
          </w:p>
          <w:p w14:paraId="0164CD54" w14:textId="77777777" w:rsidR="00AA4AC8" w:rsidRDefault="0082369C">
            <w:pPr>
              <w:pStyle w:val="afc"/>
              <w:numPr>
                <w:ilvl w:val="0"/>
                <w:numId w:val="39"/>
              </w:numPr>
              <w:adjustRightInd w:val="0"/>
              <w:snapToGrid w:val="0"/>
              <w:rPr>
                <w:rFonts w:ascii="Times New Roman" w:eastAsiaTheme="minorEastAsia" w:hAnsi="Times New Roman"/>
                <w:sz w:val="18"/>
                <w:szCs w:val="20"/>
              </w:rPr>
            </w:pPr>
            <w:r>
              <w:rPr>
                <w:rFonts w:ascii="Times New Roman" w:eastAsiaTheme="minorEastAsia" w:hAnsi="Times New Roman"/>
                <w:sz w:val="18"/>
                <w:szCs w:val="20"/>
              </w:rPr>
              <w:t>FFS: the case that all DCIs of PDSCH are associated with feedback-disabled HARQ process.</w:t>
            </w:r>
          </w:p>
          <w:p w14:paraId="1325D2BB" w14:textId="77777777" w:rsidR="00AA4AC8" w:rsidRDefault="0082369C">
            <w:pPr>
              <w:snapToGrid w:val="0"/>
              <w:spacing w:after="0"/>
              <w:rPr>
                <w:rFonts w:eastAsiaTheme="minorEastAsia"/>
                <w:sz w:val="18"/>
              </w:rPr>
            </w:pPr>
            <w:r>
              <w:rPr>
                <w:rFonts w:eastAsiaTheme="minorEastAsia"/>
                <w:sz w:val="18"/>
              </w:rPr>
              <w:t>Proposal 3. For Type-3 HARQ codebook, the codebook is generated based only on feedback-enabled HARQ processes.</w:t>
            </w:r>
          </w:p>
          <w:p w14:paraId="2D1200CA" w14:textId="77777777" w:rsidR="00AA4AC8" w:rsidRDefault="0082369C">
            <w:pPr>
              <w:snapToGrid w:val="0"/>
              <w:spacing w:after="0"/>
              <w:rPr>
                <w:rFonts w:eastAsiaTheme="minorEastAsia"/>
                <w:sz w:val="18"/>
              </w:rPr>
            </w:pPr>
            <w:r>
              <w:rPr>
                <w:rFonts w:eastAsiaTheme="minorEastAsia"/>
                <w:sz w:val="18"/>
              </w:rPr>
              <w:t xml:space="preserve">Proposal 4. UE feedbacks acknowledgement for the reception of SPS activation DCI, if the first PDSCH after reception of the SPS activation DCI is associated with disabled HARQ process.  </w:t>
            </w:r>
          </w:p>
          <w:p w14:paraId="26B514D9" w14:textId="77777777" w:rsidR="00AA4AC8" w:rsidRDefault="0082369C">
            <w:pPr>
              <w:snapToGrid w:val="0"/>
              <w:spacing w:after="0"/>
              <w:rPr>
                <w:rFonts w:eastAsiaTheme="minorEastAsia"/>
                <w:sz w:val="18"/>
              </w:rPr>
            </w:pPr>
            <w:r>
              <w:rPr>
                <w:rFonts w:eastAsiaTheme="minorEastAsia"/>
                <w:sz w:val="18"/>
              </w:rPr>
              <w:t xml:space="preserve">Proposal 5. For transmission enhancement when HARQ feedback is disabled, consider following enhancements: </w:t>
            </w:r>
          </w:p>
          <w:p w14:paraId="0BED814B" w14:textId="77777777" w:rsidR="00AA4AC8" w:rsidRDefault="0082369C">
            <w:pPr>
              <w:pStyle w:val="afc"/>
              <w:numPr>
                <w:ilvl w:val="0"/>
                <w:numId w:val="40"/>
              </w:numPr>
              <w:adjustRightInd w:val="0"/>
              <w:snapToGrid w:val="0"/>
              <w:rPr>
                <w:rFonts w:ascii="Times New Roman" w:eastAsiaTheme="minorEastAsia" w:hAnsi="Times New Roman"/>
                <w:sz w:val="18"/>
                <w:szCs w:val="20"/>
              </w:rPr>
            </w:pPr>
            <w:r>
              <w:rPr>
                <w:rFonts w:ascii="Times New Roman" w:eastAsiaTheme="minorEastAsia" w:hAnsi="Times New Roman"/>
                <w:sz w:val="18"/>
                <w:szCs w:val="20"/>
              </w:rPr>
              <w:t>Repetition number is recommended/reported by UE</w:t>
            </w:r>
          </w:p>
          <w:p w14:paraId="3185DBC6" w14:textId="77777777" w:rsidR="00AA4AC8" w:rsidRDefault="0082369C">
            <w:pPr>
              <w:snapToGrid w:val="0"/>
              <w:spacing w:after="0"/>
              <w:rPr>
                <w:rFonts w:eastAsiaTheme="minorEastAsia"/>
                <w:sz w:val="18"/>
              </w:rPr>
            </w:pPr>
            <w:r>
              <w:rPr>
                <w:rFonts w:eastAsiaTheme="minorEastAsia"/>
                <w:sz w:val="18"/>
              </w:rPr>
              <w:t xml:space="preserve">Proposal 6. In case of </w:t>
            </w:r>
            <w:r>
              <w:rPr>
                <w:sz w:val="18"/>
              </w:rPr>
              <w:t xml:space="preserve">two PDSCHs are associated with different HARQ process ids, introduce default/virtual ACK/NACK timing for feedback-disabled HARQ process. </w:t>
            </w:r>
          </w:p>
        </w:tc>
      </w:tr>
      <w:tr w:rsidR="00AA4AC8" w14:paraId="194B81D2" w14:textId="77777777">
        <w:trPr>
          <w:trHeight w:val="398"/>
          <w:jc w:val="center"/>
        </w:trPr>
        <w:tc>
          <w:tcPr>
            <w:tcW w:w="1883" w:type="dxa"/>
            <w:shd w:val="clear" w:color="auto" w:fill="auto"/>
            <w:vAlign w:val="center"/>
          </w:tcPr>
          <w:p w14:paraId="5F5E36A0" w14:textId="77777777" w:rsidR="00AA4AC8" w:rsidRDefault="0082369C">
            <w:pPr>
              <w:snapToGrid w:val="0"/>
              <w:spacing w:after="0"/>
              <w:jc w:val="center"/>
              <w:rPr>
                <w:sz w:val="18"/>
              </w:rPr>
            </w:pPr>
            <w:r>
              <w:rPr>
                <w:sz w:val="18"/>
              </w:rPr>
              <w:t>R1-2111991 ETRI</w:t>
            </w:r>
          </w:p>
        </w:tc>
        <w:tc>
          <w:tcPr>
            <w:tcW w:w="8744" w:type="dxa"/>
            <w:vAlign w:val="center"/>
          </w:tcPr>
          <w:p w14:paraId="3C628658" w14:textId="77777777" w:rsidR="00AA4AC8" w:rsidRDefault="0082369C">
            <w:pPr>
              <w:snapToGrid w:val="0"/>
              <w:spacing w:after="0"/>
              <w:ind w:right="-99"/>
              <w:rPr>
                <w:sz w:val="18"/>
                <w:lang w:eastAsia="ko-KR"/>
              </w:rPr>
            </w:pPr>
            <w:r>
              <w:rPr>
                <w:sz w:val="18"/>
                <w:lang w:eastAsia="ko-KR"/>
              </w:rPr>
              <w:t>Observation 1 :</w:t>
            </w:r>
            <w:r>
              <w:rPr>
                <w:sz w:val="18"/>
              </w:rPr>
              <w:t xml:space="preserve"> F</w:t>
            </w:r>
            <w:r>
              <w:rPr>
                <w:sz w:val="18"/>
                <w:lang w:eastAsia="ko-KR"/>
              </w:rPr>
              <w:t>or NTN, DL geometry SINR might range from -5.9 dB to 9.2 dB</w:t>
            </w:r>
          </w:p>
          <w:p w14:paraId="2AC8BF3A"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SC19 (worst case), </w:t>
            </w:r>
            <w:r>
              <w:rPr>
                <w:rFonts w:ascii="Times New Roman" w:hAnsi="Times New Roman"/>
                <w:sz w:val="18"/>
                <w:szCs w:val="20"/>
                <w:lang w:eastAsia="ko-KR"/>
              </w:rPr>
              <w:t>DL geometry SINR might range from -5.9 dB (5%) to -2.1 dB (95%).</w:t>
            </w:r>
          </w:p>
          <w:p w14:paraId="725CE511"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SC3 (best case), DL geometry SINR might range from </w:t>
            </w:r>
            <w:r>
              <w:rPr>
                <w:rFonts w:ascii="Times New Roman" w:hAnsi="Times New Roman"/>
                <w:sz w:val="18"/>
                <w:szCs w:val="20"/>
                <w:lang w:eastAsia="ko-KR"/>
              </w:rPr>
              <w:t>6 dB (5%) to 9.2 dB (95%).</w:t>
            </w:r>
          </w:p>
          <w:p w14:paraId="70CCA493" w14:textId="77777777" w:rsidR="00AA4AC8" w:rsidRDefault="0082369C">
            <w:pPr>
              <w:snapToGrid w:val="0"/>
              <w:spacing w:after="0"/>
              <w:ind w:right="-99"/>
              <w:rPr>
                <w:sz w:val="18"/>
                <w:lang w:eastAsia="ko-KR"/>
              </w:rPr>
            </w:pPr>
            <w:r>
              <w:rPr>
                <w:sz w:val="18"/>
                <w:lang w:eastAsia="ko-KR"/>
              </w:rPr>
              <w:t>Observation 2 :</w:t>
            </w:r>
            <w:r>
              <w:rPr>
                <w:sz w:val="18"/>
              </w:rPr>
              <w:t xml:space="preserve"> F</w:t>
            </w:r>
            <w:r>
              <w:rPr>
                <w:sz w:val="18"/>
                <w:lang w:eastAsia="ko-KR"/>
              </w:rPr>
              <w:t>or NTN, DL geometry SINR difference between 5% and 95% might range from 1 dB to 8.4 dB</w:t>
            </w:r>
          </w:p>
          <w:p w14:paraId="75D28EB7"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SC{8,13} (narrowest), </w:t>
            </w:r>
            <w:r>
              <w:rPr>
                <w:rFonts w:ascii="Times New Roman" w:hAnsi="Times New Roman"/>
                <w:sz w:val="18"/>
                <w:szCs w:val="20"/>
                <w:lang w:eastAsia="ko-KR"/>
              </w:rPr>
              <w:t>DL geometry SINR might range from 7.5 dB (5%) to 8.5 dB (95%). (1dB=8.5-7.5)</w:t>
            </w:r>
          </w:p>
          <w:p w14:paraId="29B9F14D"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SC28 (widest), DL geometry SINR might range from </w:t>
            </w:r>
            <w:r>
              <w:rPr>
                <w:rFonts w:ascii="Times New Roman" w:hAnsi="Times New Roman"/>
                <w:sz w:val="18"/>
                <w:szCs w:val="20"/>
                <w:lang w:eastAsia="ko-KR"/>
              </w:rPr>
              <w:t>-1.4 dB (5%) to 7 dB (95%). (8.4dB=7+1.4)</w:t>
            </w:r>
          </w:p>
          <w:p w14:paraId="5D6AE353" w14:textId="77777777" w:rsidR="00AA4AC8" w:rsidRDefault="0082369C">
            <w:pPr>
              <w:snapToGrid w:val="0"/>
              <w:spacing w:after="0"/>
              <w:ind w:right="-99"/>
              <w:rPr>
                <w:sz w:val="18"/>
                <w:lang w:eastAsia="ko-KR"/>
              </w:rPr>
            </w:pPr>
            <w:r>
              <w:rPr>
                <w:sz w:val="18"/>
                <w:lang w:eastAsia="ko-KR"/>
              </w:rPr>
              <w:t>Observation 3 :</w:t>
            </w:r>
            <w:r>
              <w:rPr>
                <w:sz w:val="18"/>
              </w:rPr>
              <w:t xml:space="preserve"> F</w:t>
            </w:r>
            <w:r>
              <w:rPr>
                <w:sz w:val="18"/>
                <w:lang w:eastAsia="ko-KR"/>
              </w:rPr>
              <w:t>or NTN, UL geometry SINR might range from -13.9 dB to 14.8 dB.</w:t>
            </w:r>
          </w:p>
          <w:p w14:paraId="689FC483"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SC19 (worst case), </w:t>
            </w:r>
            <w:r>
              <w:rPr>
                <w:rFonts w:ascii="Times New Roman" w:hAnsi="Times New Roman"/>
                <w:sz w:val="18"/>
                <w:szCs w:val="20"/>
                <w:lang w:eastAsia="ko-KR"/>
              </w:rPr>
              <w:t>the UL geometry SINR might range from -13.9 dB (5%) to -9.3 dB (95%).</w:t>
            </w:r>
          </w:p>
          <w:p w14:paraId="5442BBDE"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SC23 (best case), the UL geometry SINR might range from </w:t>
            </w:r>
            <w:r>
              <w:rPr>
                <w:rFonts w:ascii="Times New Roman" w:hAnsi="Times New Roman"/>
                <w:sz w:val="18"/>
                <w:szCs w:val="20"/>
                <w:lang w:eastAsia="ko-KR"/>
              </w:rPr>
              <w:t>3 dB (5%) to 14.8 dB (95%).</w:t>
            </w:r>
          </w:p>
          <w:p w14:paraId="1F2E0B2B" w14:textId="77777777" w:rsidR="00AA4AC8" w:rsidRDefault="0082369C">
            <w:pPr>
              <w:snapToGrid w:val="0"/>
              <w:spacing w:after="0"/>
              <w:ind w:right="-99"/>
              <w:rPr>
                <w:sz w:val="18"/>
                <w:lang w:eastAsia="ko-KR"/>
              </w:rPr>
            </w:pPr>
            <w:r>
              <w:rPr>
                <w:sz w:val="18"/>
                <w:lang w:eastAsia="ko-KR"/>
              </w:rPr>
              <w:t>Observation 4 :</w:t>
            </w:r>
            <w:r>
              <w:rPr>
                <w:sz w:val="18"/>
              </w:rPr>
              <w:t xml:space="preserve"> F</w:t>
            </w:r>
            <w:r>
              <w:rPr>
                <w:sz w:val="18"/>
                <w:lang w:eastAsia="ko-KR"/>
              </w:rPr>
              <w:t>or NTN, UL geometry SINR difference might range from 3.4 dB to 13.4 dB.</w:t>
            </w:r>
          </w:p>
          <w:p w14:paraId="446F2A17"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SC5 (narrowest), </w:t>
            </w:r>
            <w:r>
              <w:rPr>
                <w:rFonts w:ascii="Times New Roman" w:hAnsi="Times New Roman"/>
                <w:sz w:val="18"/>
                <w:szCs w:val="20"/>
                <w:lang w:eastAsia="ko-KR"/>
              </w:rPr>
              <w:t>the UL geometry SINR might range from 1.5 dB (5%) to 4.9 dB (95%). (3.4dB=4.9-1.5)</w:t>
            </w:r>
          </w:p>
          <w:p w14:paraId="77AE9A68" w14:textId="77777777" w:rsidR="00AA4AC8" w:rsidRDefault="0082369C">
            <w:pPr>
              <w:pStyle w:val="afc"/>
              <w:numPr>
                <w:ilvl w:val="0"/>
                <w:numId w:val="41"/>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 xml:space="preserve">For SC26 (widest), the UL geometry SINR might range from </w:t>
            </w:r>
            <w:r>
              <w:rPr>
                <w:rFonts w:ascii="Times New Roman" w:hAnsi="Times New Roman"/>
                <w:sz w:val="18"/>
                <w:szCs w:val="20"/>
                <w:lang w:eastAsia="ko-KR"/>
              </w:rPr>
              <w:t>-8.5 dB (5%) to 4.9 dB (95%). (13.4dB=4.9+8.5)</w:t>
            </w:r>
          </w:p>
          <w:p w14:paraId="006670C3" w14:textId="77777777" w:rsidR="00AA4AC8" w:rsidRDefault="00AA4AC8">
            <w:pPr>
              <w:snapToGrid w:val="0"/>
              <w:spacing w:after="0"/>
              <w:rPr>
                <w:sz w:val="18"/>
                <w:u w:val="single"/>
                <w:lang w:eastAsia="ko-KR"/>
              </w:rPr>
            </w:pPr>
          </w:p>
          <w:p w14:paraId="75008862" w14:textId="77777777" w:rsidR="00AA4AC8" w:rsidRDefault="0082369C">
            <w:pPr>
              <w:snapToGrid w:val="0"/>
              <w:spacing w:after="0"/>
              <w:rPr>
                <w:sz w:val="18"/>
                <w:u w:val="single"/>
                <w:lang w:eastAsia="ko-KR"/>
              </w:rPr>
            </w:pPr>
            <w:r>
              <w:rPr>
                <w:sz w:val="18"/>
                <w:u w:val="single"/>
                <w:lang w:eastAsia="ko-KR"/>
              </w:rPr>
              <w:t>Enhancement via Larger Aggregation Factor (value)</w:t>
            </w:r>
          </w:p>
          <w:p w14:paraId="307D0380" w14:textId="77777777" w:rsidR="00AA4AC8" w:rsidRDefault="0082369C">
            <w:pPr>
              <w:snapToGrid w:val="0"/>
              <w:spacing w:after="0"/>
              <w:ind w:right="-99"/>
              <w:rPr>
                <w:sz w:val="18"/>
              </w:rPr>
            </w:pPr>
            <w:r>
              <w:rPr>
                <w:sz w:val="18"/>
                <w:lang w:eastAsia="ko-KR"/>
              </w:rPr>
              <w:t>Observation 5 :</w:t>
            </w:r>
            <w:r>
              <w:rPr>
                <w:sz w:val="18"/>
              </w:rPr>
              <w:t xml:space="preserve">BLER improvement by </w:t>
            </w:r>
            <w:r>
              <w:rPr>
                <w:sz w:val="18"/>
                <w:lang w:eastAsia="ko-KR"/>
              </w:rPr>
              <w:t>legacy</w:t>
            </w:r>
            <w:r>
              <w:rPr>
                <w:sz w:val="18"/>
              </w:rPr>
              <w:t xml:space="preserve"> low SE MCS index table is not enough to cover all NTN study cases.</w:t>
            </w:r>
          </w:p>
          <w:p w14:paraId="46FC1CF1" w14:textId="77777777" w:rsidR="00AA4AC8" w:rsidRDefault="0082369C">
            <w:pPr>
              <w:pStyle w:val="afc"/>
              <w:numPr>
                <w:ilvl w:val="0"/>
                <w:numId w:val="42"/>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 xml:space="preserve">for PUSCH : </w:t>
            </w:r>
          </w:p>
          <w:p w14:paraId="50EF226A" w14:textId="77777777" w:rsidR="00AA4AC8" w:rsidRDefault="0082369C">
            <w:pPr>
              <w:pStyle w:val="afc"/>
              <w:numPr>
                <w:ilvl w:val="1"/>
                <w:numId w:val="42"/>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low SE MCS index table in legacy NR might be insufficient</w:t>
            </w:r>
          </w:p>
          <w:p w14:paraId="010826AF" w14:textId="77777777" w:rsidR="00AA4AC8" w:rsidRDefault="0082369C">
            <w:pPr>
              <w:pStyle w:val="afc"/>
              <w:numPr>
                <w:ilvl w:val="0"/>
                <w:numId w:val="42"/>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 xml:space="preserve">for PDSCH : </w:t>
            </w:r>
          </w:p>
          <w:p w14:paraId="30C0C9D0" w14:textId="77777777" w:rsidR="00AA4AC8" w:rsidRDefault="0082369C">
            <w:pPr>
              <w:pStyle w:val="afc"/>
              <w:numPr>
                <w:ilvl w:val="1"/>
                <w:numId w:val="42"/>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 xml:space="preserve">low SE MCS index table in legacy NR might be insufficient if target BLER </w:t>
            </w:r>
            <m:oMath>
              <m:r>
                <m:rPr>
                  <m:sty m:val="p"/>
                </m:rPr>
                <w:rPr>
                  <w:rFonts w:ascii="Cambria Math" w:hAnsi="Cambria Math"/>
                  <w:sz w:val="18"/>
                  <w:szCs w:val="20"/>
                  <w:lang w:eastAsia="ko-KR"/>
                </w:rPr>
                <m:t xml:space="preserve">≤ </m:t>
              </m:r>
            </m:oMath>
            <w:r>
              <w:rPr>
                <w:rFonts w:ascii="Times New Roman" w:hAnsi="Times New Roman"/>
                <w:sz w:val="18"/>
                <w:szCs w:val="20"/>
                <w:lang w:eastAsia="ko-KR"/>
              </w:rPr>
              <w:t xml:space="preserve"> 0.1%</w:t>
            </w:r>
          </w:p>
          <w:p w14:paraId="6F0AF9EA" w14:textId="77777777" w:rsidR="00AA4AC8" w:rsidRDefault="0082369C">
            <w:pPr>
              <w:pStyle w:val="afc"/>
              <w:numPr>
                <w:ilvl w:val="1"/>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otherwise, low SE MCS index table in legacy NR</w:t>
            </w:r>
            <w:r>
              <w:rPr>
                <w:rFonts w:ascii="Times New Roman" w:hAnsi="Times New Roman"/>
                <w:sz w:val="18"/>
                <w:szCs w:val="20"/>
              </w:rPr>
              <w:t xml:space="preserve"> might be sufficient.</w:t>
            </w:r>
          </w:p>
          <w:p w14:paraId="13228B0C" w14:textId="77777777" w:rsidR="00AA4AC8" w:rsidRDefault="0082369C">
            <w:pPr>
              <w:snapToGrid w:val="0"/>
              <w:spacing w:after="0"/>
              <w:ind w:right="-99"/>
              <w:rPr>
                <w:sz w:val="18"/>
              </w:rPr>
            </w:pPr>
            <w:r>
              <w:rPr>
                <w:sz w:val="18"/>
                <w:lang w:eastAsia="ko-KR"/>
              </w:rPr>
              <w:t>Observation 6 :</w:t>
            </w:r>
            <w:r>
              <w:rPr>
                <w:sz w:val="18"/>
              </w:rPr>
              <w:t>larger aggregation factor might be inevitable for NTN.</w:t>
            </w:r>
          </w:p>
          <w:p w14:paraId="2F3CFEFC" w14:textId="77777777" w:rsidR="00AA4AC8" w:rsidRDefault="0082369C">
            <w:pPr>
              <w:pStyle w:val="afc"/>
              <w:numPr>
                <w:ilvl w:val="0"/>
                <w:numId w:val="43"/>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rPr>
              <w:t>for PUSCH : 32 aggregated transmission might be insufficient</w:t>
            </w:r>
          </w:p>
          <w:p w14:paraId="520EE928" w14:textId="77777777" w:rsidR="00AA4AC8" w:rsidRDefault="0082369C">
            <w:pPr>
              <w:pStyle w:val="afc"/>
              <w:numPr>
                <w:ilvl w:val="1"/>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normal SE MCS index table</w:t>
            </w:r>
          </w:p>
          <w:p w14:paraId="211374AE"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BLER=1% : 32 aggregated transmission (insufficient)</w:t>
            </w:r>
          </w:p>
          <w:p w14:paraId="02700630"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BLER=0.1%: 32 aggregated transmission (insufficient)</w:t>
            </w:r>
          </w:p>
          <w:p w14:paraId="1EAA2426" w14:textId="77777777" w:rsidR="00AA4AC8" w:rsidRDefault="0082369C">
            <w:pPr>
              <w:pStyle w:val="afc"/>
              <w:numPr>
                <w:ilvl w:val="1"/>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low SE MCS index table</w:t>
            </w:r>
          </w:p>
          <w:p w14:paraId="00398EF1"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BLER=1% : 32 aggregated transmission (marginal)</w:t>
            </w:r>
          </w:p>
          <w:p w14:paraId="3B2D6275"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BLER=0.1% : 32 aggregated transmission (insufficient)</w:t>
            </w:r>
          </w:p>
          <w:p w14:paraId="5726F11B" w14:textId="77777777" w:rsidR="00AA4AC8" w:rsidRDefault="0082369C">
            <w:pPr>
              <w:pStyle w:val="afc"/>
              <w:numPr>
                <w:ilvl w:val="0"/>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 xml:space="preserve">for PDSCH : </w:t>
            </w:r>
            <w:r>
              <w:rPr>
                <w:rFonts w:ascii="Times New Roman" w:hAnsi="Times New Roman"/>
                <w:sz w:val="18"/>
                <w:szCs w:val="20"/>
              </w:rPr>
              <w:t>8 aggregated transmission might be insufficient</w:t>
            </w:r>
          </w:p>
          <w:p w14:paraId="0BFC6F6E" w14:textId="77777777" w:rsidR="00AA4AC8" w:rsidRDefault="0082369C">
            <w:pPr>
              <w:pStyle w:val="afc"/>
              <w:numPr>
                <w:ilvl w:val="1"/>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normal SE MCS index table</w:t>
            </w:r>
          </w:p>
          <w:p w14:paraId="6E4B8189"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BLER=1% : 8 aggregated transmission (marginal), 16 aggregated transmission (sufficient)</w:t>
            </w:r>
          </w:p>
          <w:p w14:paraId="61B555E9"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BLER=0.1%: 16 aggregated transmission (marginal), 32 aggregated transmission (sufficient)</w:t>
            </w:r>
          </w:p>
          <w:p w14:paraId="04ADB047" w14:textId="77777777" w:rsidR="00AA4AC8" w:rsidRDefault="0082369C">
            <w:pPr>
              <w:pStyle w:val="afc"/>
              <w:numPr>
                <w:ilvl w:val="1"/>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low SE MCS index table</w:t>
            </w:r>
          </w:p>
          <w:p w14:paraId="16504519"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BLER=1% : 8 aggregated transmission (sufficient)</w:t>
            </w:r>
          </w:p>
          <w:p w14:paraId="2077977E" w14:textId="77777777" w:rsidR="00AA4AC8" w:rsidRDefault="0082369C">
            <w:pPr>
              <w:pStyle w:val="afc"/>
              <w:numPr>
                <w:ilvl w:val="2"/>
                <w:numId w:val="43"/>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target BLER=0.1% : 8 aggregated transmission (marginal), 16 aggregated transmission (sufficient)</w:t>
            </w:r>
          </w:p>
          <w:p w14:paraId="26FB7439" w14:textId="77777777" w:rsidR="00AA4AC8" w:rsidRDefault="0082369C">
            <w:pPr>
              <w:snapToGrid w:val="0"/>
              <w:spacing w:after="0"/>
              <w:ind w:right="-99"/>
              <w:rPr>
                <w:sz w:val="18"/>
              </w:rPr>
            </w:pPr>
            <w:r>
              <w:rPr>
                <w:sz w:val="18"/>
                <w:lang w:eastAsia="ko-KR"/>
              </w:rPr>
              <w:lastRenderedPageBreak/>
              <w:t>Observation 7 :</w:t>
            </w:r>
            <w:r>
              <w:rPr>
                <w:sz w:val="18"/>
              </w:rPr>
              <w:t xml:space="preserve"> larger aggregation factor method could be considered as a solution to secure more reliable transmission.</w:t>
            </w:r>
          </w:p>
          <w:p w14:paraId="17A67212" w14:textId="77777777" w:rsidR="00AA4AC8" w:rsidRDefault="0082369C">
            <w:pPr>
              <w:pStyle w:val="afc"/>
              <w:numPr>
                <w:ilvl w:val="0"/>
                <w:numId w:val="43"/>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rPr>
              <w:t>less specification impact than new lower SE MCS index table method</w:t>
            </w:r>
          </w:p>
          <w:p w14:paraId="6772DB54" w14:textId="77777777" w:rsidR="00AA4AC8" w:rsidRDefault="0082369C">
            <w:pPr>
              <w:pStyle w:val="afc"/>
              <w:numPr>
                <w:ilvl w:val="0"/>
                <w:numId w:val="43"/>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more</w:t>
            </w:r>
            <w:r>
              <w:rPr>
                <w:rFonts w:ascii="Times New Roman" w:hAnsi="Times New Roman"/>
                <w:sz w:val="18"/>
                <w:szCs w:val="20"/>
              </w:rPr>
              <w:t xml:space="preserve"> </w:t>
            </w:r>
            <w:r>
              <w:rPr>
                <w:rFonts w:ascii="Times New Roman" w:hAnsi="Times New Roman"/>
                <w:sz w:val="18"/>
                <w:szCs w:val="20"/>
                <w:lang w:eastAsia="ko-KR"/>
              </w:rPr>
              <w:t>effective</w:t>
            </w:r>
            <w:r>
              <w:rPr>
                <w:rFonts w:ascii="Times New Roman" w:hAnsi="Times New Roman"/>
                <w:sz w:val="18"/>
                <w:szCs w:val="20"/>
              </w:rPr>
              <w:t xml:space="preserve"> than new lower SE MCS index table method.</w:t>
            </w:r>
          </w:p>
          <w:p w14:paraId="3C550799" w14:textId="77777777" w:rsidR="00AA4AC8" w:rsidRDefault="0082369C">
            <w:pPr>
              <w:pStyle w:val="afc"/>
              <w:numPr>
                <w:ilvl w:val="0"/>
                <w:numId w:val="43"/>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rPr>
              <w:t>more reliable transmission for normal SE MCS index table (more reliable regardless of MCS index table usage)</w:t>
            </w:r>
          </w:p>
          <w:p w14:paraId="25114982" w14:textId="77777777" w:rsidR="00AA4AC8" w:rsidRDefault="00AA4AC8">
            <w:pPr>
              <w:snapToGrid w:val="0"/>
              <w:spacing w:after="0"/>
              <w:rPr>
                <w:sz w:val="18"/>
                <w:u w:val="single"/>
                <w:lang w:eastAsia="ko-KR"/>
              </w:rPr>
            </w:pPr>
          </w:p>
          <w:p w14:paraId="233DBA4C" w14:textId="77777777" w:rsidR="00AA4AC8" w:rsidRDefault="0082369C">
            <w:pPr>
              <w:snapToGrid w:val="0"/>
              <w:spacing w:after="0"/>
              <w:rPr>
                <w:sz w:val="18"/>
                <w:u w:val="single"/>
                <w:lang w:eastAsia="ko-KR"/>
              </w:rPr>
            </w:pPr>
            <w:r>
              <w:rPr>
                <w:sz w:val="18"/>
                <w:u w:val="single"/>
                <w:lang w:eastAsia="ko-KR"/>
              </w:rPr>
              <w:t>Enhancement via Different Aggregation Factors (configuration)</w:t>
            </w:r>
          </w:p>
          <w:p w14:paraId="1220C6AF" w14:textId="77777777" w:rsidR="00AA4AC8" w:rsidRDefault="0082369C">
            <w:pPr>
              <w:snapToGrid w:val="0"/>
              <w:spacing w:after="0"/>
              <w:ind w:right="-99"/>
              <w:rPr>
                <w:sz w:val="18"/>
                <w:lang w:eastAsia="ko-KR"/>
              </w:rPr>
            </w:pPr>
            <w:r>
              <w:rPr>
                <w:sz w:val="18"/>
                <w:lang w:eastAsia="ko-KR"/>
              </w:rPr>
              <w:t>Observation 8 : For optimal adaptation, different aggregation factor might be applied depending on the parameter (especially I</w:t>
            </w:r>
            <w:r>
              <w:rPr>
                <w:sz w:val="18"/>
                <w:vertAlign w:val="subscript"/>
                <w:lang w:eastAsia="ko-KR"/>
              </w:rPr>
              <w:t>MCS</w:t>
            </w:r>
            <w:r>
              <w:rPr>
                <w:sz w:val="18"/>
                <w:lang w:eastAsia="ko-KR"/>
              </w:rPr>
              <w:t>).</w:t>
            </w:r>
          </w:p>
          <w:p w14:paraId="0E72EF95" w14:textId="77777777" w:rsidR="00AA4AC8" w:rsidRDefault="0082369C">
            <w:pPr>
              <w:snapToGrid w:val="0"/>
              <w:spacing w:after="0"/>
              <w:ind w:right="-99"/>
              <w:rPr>
                <w:sz w:val="18"/>
                <w:lang w:eastAsia="ko-KR"/>
              </w:rPr>
            </w:pPr>
            <w:r>
              <w:rPr>
                <w:sz w:val="18"/>
                <w:lang w:eastAsia="ko-KR"/>
              </w:rPr>
              <w:t>Observation 9 :</w:t>
            </w:r>
            <w:r>
              <w:rPr>
                <w:sz w:val="18"/>
              </w:rPr>
              <w:t xml:space="preserve"> </w:t>
            </w:r>
            <w:r>
              <w:rPr>
                <w:sz w:val="18"/>
                <w:lang w:eastAsia="ko-KR"/>
              </w:rPr>
              <w:t>For optimal adaptation, different aggregation factor should be applied depending on the target performance.</w:t>
            </w:r>
          </w:p>
          <w:p w14:paraId="6A5DEFF5" w14:textId="77777777" w:rsidR="00AA4AC8" w:rsidRDefault="0082369C">
            <w:pPr>
              <w:snapToGrid w:val="0"/>
              <w:spacing w:after="0"/>
              <w:ind w:right="-99"/>
              <w:rPr>
                <w:sz w:val="18"/>
              </w:rPr>
            </w:pPr>
            <w:r>
              <w:rPr>
                <w:sz w:val="18"/>
                <w:lang w:eastAsia="ko-KR"/>
              </w:rPr>
              <w:t>Observation 10 :</w:t>
            </w:r>
            <w:r>
              <w:rPr>
                <w:sz w:val="18"/>
              </w:rPr>
              <w:t xml:space="preserve"> In NR, various kinds of transport channels are multiplexed into PDSCH/PUSCH.</w:t>
            </w:r>
          </w:p>
          <w:p w14:paraId="30CB7920" w14:textId="77777777" w:rsidR="00AA4AC8" w:rsidRDefault="0082369C">
            <w:pPr>
              <w:pStyle w:val="afc"/>
              <w:numPr>
                <w:ilvl w:val="0"/>
                <w:numId w:val="44"/>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Target performance of each transport channel might be distinguishable by checking the RNTI</w:t>
            </w:r>
          </w:p>
          <w:p w14:paraId="08F2826A" w14:textId="77777777" w:rsidR="00AA4AC8" w:rsidRDefault="0082369C">
            <w:pPr>
              <w:pStyle w:val="afc"/>
              <w:numPr>
                <w:ilvl w:val="1"/>
                <w:numId w:val="44"/>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PDSCH related RNTI : {P,SI,RA,MSGB,TC,C,MCS-C,CS}-RNTI</w:t>
            </w:r>
          </w:p>
          <w:p w14:paraId="5A81E26A" w14:textId="77777777" w:rsidR="00AA4AC8" w:rsidRDefault="0082369C">
            <w:pPr>
              <w:pStyle w:val="afc"/>
              <w:numPr>
                <w:ilvl w:val="1"/>
                <w:numId w:val="44"/>
              </w:numPr>
              <w:overflowPunct w:val="0"/>
              <w:autoSpaceDE w:val="0"/>
              <w:autoSpaceDN w:val="0"/>
              <w:adjustRightInd w:val="0"/>
              <w:snapToGrid w:val="0"/>
              <w:ind w:right="-99"/>
              <w:textAlignment w:val="baseline"/>
              <w:rPr>
                <w:rFonts w:ascii="Times New Roman" w:hAnsi="Times New Roman"/>
                <w:sz w:val="18"/>
                <w:szCs w:val="20"/>
              </w:rPr>
            </w:pPr>
            <w:r>
              <w:rPr>
                <w:rFonts w:ascii="Times New Roman" w:hAnsi="Times New Roman"/>
                <w:sz w:val="18"/>
                <w:szCs w:val="20"/>
                <w:lang w:eastAsia="ko-KR"/>
              </w:rPr>
              <w:t>PUSCH related RNTI : {TC,C,MCS-C,CS}-RNTI</w:t>
            </w:r>
          </w:p>
          <w:p w14:paraId="43D7E868" w14:textId="77777777" w:rsidR="00AA4AC8" w:rsidRDefault="0082369C">
            <w:pPr>
              <w:snapToGrid w:val="0"/>
              <w:spacing w:after="0"/>
              <w:ind w:right="-99"/>
              <w:rPr>
                <w:sz w:val="18"/>
                <w:lang w:eastAsia="ko-KR"/>
              </w:rPr>
            </w:pPr>
            <w:r>
              <w:rPr>
                <w:sz w:val="18"/>
                <w:lang w:eastAsia="ko-KR"/>
              </w:rPr>
              <w:t>Observation 11 :</w:t>
            </w:r>
            <w:r>
              <w:rPr>
                <w:sz w:val="18"/>
              </w:rPr>
              <w:t xml:space="preserve"> </w:t>
            </w:r>
            <w:r>
              <w:rPr>
                <w:sz w:val="18"/>
                <w:lang w:eastAsia="ko-KR"/>
              </w:rPr>
              <w:t>In NTN, different target performance might be defined by the HARQ feedback availability.</w:t>
            </w:r>
          </w:p>
          <w:p w14:paraId="4CFBA6D6" w14:textId="77777777" w:rsidR="00AA4AC8" w:rsidRDefault="00AA4AC8">
            <w:pPr>
              <w:snapToGrid w:val="0"/>
              <w:spacing w:after="0"/>
              <w:ind w:right="-99"/>
              <w:rPr>
                <w:sz w:val="18"/>
                <w:u w:val="single"/>
                <w:lang w:eastAsia="ko-KR"/>
              </w:rPr>
            </w:pPr>
          </w:p>
          <w:p w14:paraId="6D3C3D66" w14:textId="77777777" w:rsidR="00AA4AC8" w:rsidRDefault="0082369C">
            <w:pPr>
              <w:snapToGrid w:val="0"/>
              <w:spacing w:after="0"/>
              <w:ind w:right="-99"/>
              <w:rPr>
                <w:sz w:val="18"/>
                <w:u w:val="single"/>
                <w:lang w:eastAsia="ko-KR"/>
              </w:rPr>
            </w:pPr>
            <w:r>
              <w:rPr>
                <w:sz w:val="18"/>
                <w:u w:val="single"/>
                <w:lang w:eastAsia="ko-KR"/>
              </w:rPr>
              <w:t>Enhancement via UL Feedback (for guidance of aggregation factor)</w:t>
            </w:r>
          </w:p>
          <w:p w14:paraId="3B0C7435" w14:textId="77777777" w:rsidR="00AA4AC8" w:rsidRDefault="0082369C">
            <w:pPr>
              <w:snapToGrid w:val="0"/>
              <w:spacing w:after="0"/>
              <w:ind w:right="-99"/>
              <w:rPr>
                <w:sz w:val="18"/>
                <w:lang w:eastAsia="ko-KR"/>
              </w:rPr>
            </w:pPr>
            <w:r>
              <w:rPr>
                <w:sz w:val="18"/>
                <w:lang w:eastAsia="ko-KR"/>
              </w:rPr>
              <w:t xml:space="preserve">Observation 12 : The value of aggregation factor should be determined properly if slot aggregation is used. </w:t>
            </w:r>
          </w:p>
          <w:p w14:paraId="67D2DC5C" w14:textId="77777777" w:rsidR="00AA4AC8" w:rsidRDefault="0082369C">
            <w:pPr>
              <w:pStyle w:val="afc"/>
              <w:numPr>
                <w:ilvl w:val="0"/>
                <w:numId w:val="45"/>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Too un-reliable parameter : reliability/latency loss (might be unable to communicate)</w:t>
            </w:r>
          </w:p>
          <w:p w14:paraId="1F5C9DB9" w14:textId="77777777" w:rsidR="00AA4AC8" w:rsidRDefault="0082369C">
            <w:pPr>
              <w:pStyle w:val="afc"/>
              <w:numPr>
                <w:ilvl w:val="0"/>
                <w:numId w:val="45"/>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Proper parameter : optimal adaptation</w:t>
            </w:r>
          </w:p>
          <w:p w14:paraId="3F1B960D" w14:textId="77777777" w:rsidR="00AA4AC8" w:rsidRDefault="0082369C">
            <w:pPr>
              <w:pStyle w:val="afc"/>
              <w:numPr>
                <w:ilvl w:val="0"/>
                <w:numId w:val="45"/>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Too reliable parameter : throughput loss</w:t>
            </w:r>
          </w:p>
          <w:p w14:paraId="20585461" w14:textId="77777777" w:rsidR="00AA4AC8" w:rsidRDefault="0082369C">
            <w:pPr>
              <w:snapToGrid w:val="0"/>
              <w:spacing w:after="0"/>
              <w:ind w:right="-99"/>
              <w:rPr>
                <w:sz w:val="18"/>
                <w:lang w:eastAsia="ko-KR"/>
              </w:rPr>
            </w:pPr>
            <w:r>
              <w:rPr>
                <w:sz w:val="18"/>
                <w:lang w:eastAsia="ko-KR"/>
              </w:rPr>
              <w:t xml:space="preserve">Observation 13 : NR gNB cannot distinguish between just proper parameter and too reliable parameter, if the slot aggregation is used. </w:t>
            </w:r>
          </w:p>
          <w:p w14:paraId="77A9D70A" w14:textId="77777777" w:rsidR="00AA4AC8" w:rsidRDefault="0082369C">
            <w:pPr>
              <w:pStyle w:val="afc"/>
              <w:numPr>
                <w:ilvl w:val="0"/>
                <w:numId w:val="45"/>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 xml:space="preserve">0 CRC OK in a bundle (too un-reliable parameter) : NACK </w:t>
            </w:r>
          </w:p>
          <w:p w14:paraId="49AB979D" w14:textId="77777777" w:rsidR="00AA4AC8" w:rsidRDefault="0082369C">
            <w:pPr>
              <w:pStyle w:val="afc"/>
              <w:numPr>
                <w:ilvl w:val="0"/>
                <w:numId w:val="45"/>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 xml:space="preserve">only 1 CRC OK in a bundle (proper parameter) : ACK </w:t>
            </w:r>
          </w:p>
          <w:p w14:paraId="56E43AF9" w14:textId="77777777" w:rsidR="00AA4AC8" w:rsidRDefault="0082369C">
            <w:pPr>
              <w:pStyle w:val="afc"/>
              <w:numPr>
                <w:ilvl w:val="0"/>
                <w:numId w:val="45"/>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multiple(&gt;1) CRC OK in a bundle (too reliable parameter) : ACK</w:t>
            </w:r>
          </w:p>
          <w:p w14:paraId="0CB7539A" w14:textId="77777777" w:rsidR="00AA4AC8" w:rsidRDefault="0082369C">
            <w:pPr>
              <w:snapToGrid w:val="0"/>
              <w:spacing w:after="0"/>
              <w:ind w:right="-99"/>
              <w:rPr>
                <w:sz w:val="18"/>
                <w:lang w:eastAsia="ko-KR"/>
              </w:rPr>
            </w:pPr>
            <w:r>
              <w:rPr>
                <w:sz w:val="18"/>
                <w:lang w:eastAsia="ko-KR"/>
              </w:rPr>
              <w:t>Observation 14 : NR gNB cannot optimally react to some cases, if the slot aggregation is used.</w:t>
            </w:r>
          </w:p>
          <w:p w14:paraId="700EF90F"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toward better reliability : possible (reaction for receiving NACK quite consistently)</w:t>
            </w:r>
          </w:p>
          <w:p w14:paraId="0975A48C"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maintain : possible (reaction for receiving ACKs quite consistently)</w:t>
            </w:r>
          </w:p>
          <w:p w14:paraId="01363826"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toward better throughput : (seems to be )impossible</w:t>
            </w:r>
          </w:p>
          <w:p w14:paraId="1814C081" w14:textId="77777777" w:rsidR="00AA4AC8" w:rsidRDefault="0082369C">
            <w:pPr>
              <w:snapToGrid w:val="0"/>
              <w:spacing w:after="0"/>
              <w:ind w:right="-99"/>
              <w:rPr>
                <w:sz w:val="18"/>
                <w:lang w:eastAsia="ko-KR"/>
              </w:rPr>
            </w:pPr>
            <w:r>
              <w:rPr>
                <w:sz w:val="18"/>
                <w:lang w:eastAsia="ko-KR"/>
              </w:rPr>
              <w:t>Observation 15 : In NR, there is no feedback mechanism to guide aggregation factor into lower value for better throughput</w:t>
            </w:r>
          </w:p>
          <w:p w14:paraId="6F29DF44" w14:textId="77777777" w:rsidR="00AA4AC8" w:rsidRDefault="0082369C">
            <w:pPr>
              <w:pStyle w:val="afc"/>
              <w:numPr>
                <w:ilvl w:val="0"/>
                <w:numId w:val="47"/>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Once the aggregation factor value gets larger, it may be impossible to be reduced again</w:t>
            </w:r>
          </w:p>
          <w:p w14:paraId="34672735" w14:textId="77777777" w:rsidR="00AA4AC8" w:rsidRDefault="0082369C">
            <w:pPr>
              <w:snapToGrid w:val="0"/>
              <w:spacing w:after="0"/>
              <w:ind w:right="-99"/>
              <w:rPr>
                <w:sz w:val="18"/>
                <w:lang w:eastAsia="ko-KR"/>
              </w:rPr>
            </w:pPr>
            <w:r>
              <w:rPr>
                <w:sz w:val="18"/>
                <w:lang w:eastAsia="ko-KR"/>
              </w:rPr>
              <w:t>Observation 16 : If all the HARQ feedback are disabled, gNB cannot optimally react to all cases</w:t>
            </w:r>
          </w:p>
          <w:p w14:paraId="7457E2E9"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toward better reliability : (seems to be )impossible</w:t>
            </w:r>
          </w:p>
          <w:p w14:paraId="6AA8E97F"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maintain : (seems to be )impossible</w:t>
            </w:r>
          </w:p>
          <w:p w14:paraId="6D1299DB"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toward better throughput : (seems to be )impossible</w:t>
            </w:r>
          </w:p>
          <w:p w14:paraId="7DA555E6" w14:textId="77777777" w:rsidR="00AA4AC8" w:rsidRDefault="0082369C">
            <w:pPr>
              <w:snapToGrid w:val="0"/>
              <w:spacing w:after="0"/>
              <w:ind w:right="-99"/>
              <w:rPr>
                <w:sz w:val="18"/>
                <w:lang w:eastAsia="ko-KR"/>
              </w:rPr>
            </w:pPr>
            <w:r>
              <w:rPr>
                <w:sz w:val="18"/>
                <w:lang w:eastAsia="ko-KR"/>
              </w:rPr>
              <w:t>Observation 17 : UL feedback might be helpful to guide aggregation factor into optimal value</w:t>
            </w:r>
          </w:p>
          <w:p w14:paraId="4ADD55C2"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Non-optimal value (fixed aggregation factor) might lead the throughput loss</w:t>
            </w:r>
          </w:p>
          <w:p w14:paraId="282FE166" w14:textId="77777777" w:rsidR="00AA4AC8" w:rsidRDefault="0082369C">
            <w:pPr>
              <w:pStyle w:val="afc"/>
              <w:numPr>
                <w:ilvl w:val="1"/>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for PDSCH: from 20.8% to 45.7%.</w:t>
            </w:r>
          </w:p>
          <w:p w14:paraId="4FE6CB70" w14:textId="77777777" w:rsidR="00AA4AC8" w:rsidRDefault="0082369C">
            <w:pPr>
              <w:pStyle w:val="afc"/>
              <w:numPr>
                <w:ilvl w:val="1"/>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for PUSCH: from 16.2% to 51%</w:t>
            </w:r>
          </w:p>
          <w:p w14:paraId="6417692B" w14:textId="77777777" w:rsidR="00AA4AC8" w:rsidRDefault="0082369C">
            <w:pPr>
              <w:snapToGrid w:val="0"/>
              <w:spacing w:after="0"/>
              <w:ind w:right="-99"/>
              <w:rPr>
                <w:sz w:val="18"/>
                <w:lang w:eastAsia="ko-KR"/>
              </w:rPr>
            </w:pPr>
            <w:r>
              <w:rPr>
                <w:sz w:val="18"/>
                <w:lang w:eastAsia="ko-KR"/>
              </w:rPr>
              <w:t>Observation 18 : UL feedback via MAC-CE/RRC might be preferred rather than UL feedback via UCI.</w:t>
            </w:r>
          </w:p>
          <w:p w14:paraId="712A7C85"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specification impact would be minimized</w:t>
            </w:r>
          </w:p>
          <w:p w14:paraId="05F7FBB9" w14:textId="77777777" w:rsidR="00AA4AC8" w:rsidRDefault="0082369C">
            <w:pPr>
              <w:pStyle w:val="afc"/>
              <w:numPr>
                <w:ilvl w:val="0"/>
                <w:numId w:val="46"/>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soft combinable retransmission mechanism on PUSCH might be beneficial for compensating in low S(I)NR under NTN</w:t>
            </w:r>
          </w:p>
          <w:p w14:paraId="15808FFF" w14:textId="77777777" w:rsidR="00AA4AC8" w:rsidRDefault="00AA4AC8">
            <w:pPr>
              <w:snapToGrid w:val="0"/>
              <w:spacing w:after="0"/>
              <w:ind w:right="-99"/>
              <w:rPr>
                <w:sz w:val="18"/>
                <w:lang w:eastAsia="ko-KR"/>
              </w:rPr>
            </w:pPr>
          </w:p>
          <w:p w14:paraId="0020EE6D" w14:textId="77777777" w:rsidR="00AA4AC8" w:rsidRDefault="0082369C">
            <w:pPr>
              <w:overflowPunct/>
              <w:autoSpaceDE/>
              <w:autoSpaceDN/>
              <w:snapToGrid w:val="0"/>
              <w:spacing w:after="0"/>
              <w:textAlignment w:val="auto"/>
              <w:rPr>
                <w:sz w:val="18"/>
                <w:lang w:eastAsia="ko-KR"/>
              </w:rPr>
            </w:pPr>
            <w:r>
              <w:rPr>
                <w:sz w:val="18"/>
                <w:lang w:eastAsia="ko-KR"/>
              </w:rPr>
              <w:t>Proposal 1 : Consider “X&gt;8” for NTN PDSCH according to the below agreement in RAN1#106-e.</w:t>
            </w:r>
          </w:p>
          <w:p w14:paraId="0A677556" w14:textId="77777777" w:rsidR="00AA4AC8" w:rsidRDefault="0082369C">
            <w:pPr>
              <w:pStyle w:val="afc"/>
              <w:numPr>
                <w:ilvl w:val="0"/>
                <w:numId w:val="25"/>
              </w:numPr>
              <w:adjustRightInd w:val="0"/>
              <w:snapToGrid w:val="0"/>
              <w:rPr>
                <w:rFonts w:ascii="Times New Roman" w:hAnsi="Times New Roman"/>
                <w:sz w:val="18"/>
                <w:szCs w:val="20"/>
              </w:rPr>
            </w:pPr>
            <w:r>
              <w:rPr>
                <w:rFonts w:ascii="Times New Roman" w:hAnsi="Times New Roman"/>
                <w:sz w:val="18"/>
                <w:szCs w:val="20"/>
                <w:lang w:eastAsia="ko-KR"/>
              </w:rPr>
              <w:t xml:space="preserve">agreement @ RAN1#106-e: </w:t>
            </w:r>
          </w:p>
          <w:p w14:paraId="3E0D1E63" w14:textId="77777777" w:rsidR="00AA4AC8" w:rsidRDefault="0082369C">
            <w:pPr>
              <w:pStyle w:val="afc"/>
              <w:numPr>
                <w:ilvl w:val="1"/>
                <w:numId w:val="25"/>
              </w:numPr>
              <w:adjustRightInd w:val="0"/>
              <w:snapToGrid w:val="0"/>
              <w:rPr>
                <w:rFonts w:ascii="Times New Roman" w:hAnsi="Times New Roman"/>
                <w:sz w:val="18"/>
                <w:szCs w:val="20"/>
              </w:rPr>
            </w:pPr>
            <w:r>
              <w:rPr>
                <w:rFonts w:ascii="Times New Roman" w:hAnsi="Times New Roman"/>
                <w:sz w:val="18"/>
                <w:szCs w:val="20"/>
                <w:lang w:eastAsia="ko-KR"/>
              </w:rPr>
              <w:t xml:space="preserve">“The maximum number of supported aggregation factor (i.e., pdsch-AggregationFactor) for DL PDSCH is [X]. </w:t>
            </w:r>
            <w:r>
              <w:rPr>
                <w:rFonts w:ascii="Times New Roman" w:hAnsi="Times New Roman"/>
                <w:sz w:val="18"/>
                <w:szCs w:val="20"/>
              </w:rPr>
              <w:t>FFS: X = 8, 16 or 32”</w:t>
            </w:r>
          </w:p>
          <w:p w14:paraId="1853A263" w14:textId="77777777" w:rsidR="00AA4AC8" w:rsidRDefault="0082369C">
            <w:pPr>
              <w:pStyle w:val="afc"/>
              <w:numPr>
                <w:ilvl w:val="0"/>
                <w:numId w:val="25"/>
              </w:numPr>
              <w:adjustRightInd w:val="0"/>
              <w:snapToGrid w:val="0"/>
              <w:rPr>
                <w:rFonts w:ascii="Times New Roman" w:hAnsi="Times New Roman"/>
                <w:sz w:val="18"/>
                <w:szCs w:val="20"/>
              </w:rPr>
            </w:pPr>
            <w:r>
              <w:rPr>
                <w:rFonts w:ascii="Times New Roman" w:hAnsi="Times New Roman"/>
                <w:sz w:val="18"/>
                <w:szCs w:val="20"/>
                <w:lang w:eastAsia="ko-KR"/>
              </w:rPr>
              <w:t xml:space="preserve">Note : </w:t>
            </w:r>
          </w:p>
          <w:p w14:paraId="5B895FC5" w14:textId="77777777" w:rsidR="00AA4AC8" w:rsidRDefault="0082369C">
            <w:pPr>
              <w:pStyle w:val="afc"/>
              <w:numPr>
                <w:ilvl w:val="1"/>
                <w:numId w:val="25"/>
              </w:numPr>
              <w:adjustRightInd w:val="0"/>
              <w:snapToGrid w:val="0"/>
              <w:rPr>
                <w:rFonts w:ascii="Times New Roman" w:hAnsi="Times New Roman"/>
                <w:sz w:val="18"/>
                <w:szCs w:val="20"/>
              </w:rPr>
            </w:pPr>
            <w:r>
              <w:rPr>
                <w:rFonts w:ascii="Times New Roman" w:hAnsi="Times New Roman"/>
                <w:sz w:val="18"/>
                <w:szCs w:val="20"/>
                <w:lang w:eastAsia="ko-KR"/>
              </w:rPr>
              <w:t>8 aggregated transmission might be marginal for 1% target BLER</w:t>
            </w:r>
          </w:p>
          <w:p w14:paraId="402BDE0F" w14:textId="77777777" w:rsidR="00AA4AC8" w:rsidRDefault="0082369C">
            <w:pPr>
              <w:pStyle w:val="afc"/>
              <w:numPr>
                <w:ilvl w:val="1"/>
                <w:numId w:val="25"/>
              </w:numPr>
              <w:adjustRightInd w:val="0"/>
              <w:snapToGrid w:val="0"/>
              <w:rPr>
                <w:rFonts w:ascii="Times New Roman" w:hAnsi="Times New Roman"/>
                <w:sz w:val="18"/>
                <w:szCs w:val="20"/>
              </w:rPr>
            </w:pPr>
            <w:r>
              <w:rPr>
                <w:rFonts w:ascii="Times New Roman" w:hAnsi="Times New Roman"/>
                <w:sz w:val="18"/>
                <w:szCs w:val="20"/>
                <w:lang w:eastAsia="ko-KR"/>
              </w:rPr>
              <w:t>16 aggregated transmission might be marginal for 0.1% target BLER and sufficient for 1% target BLER</w:t>
            </w:r>
          </w:p>
          <w:p w14:paraId="6DF2C8F4" w14:textId="77777777" w:rsidR="00AA4AC8" w:rsidRDefault="0082369C">
            <w:pPr>
              <w:pStyle w:val="afc"/>
              <w:numPr>
                <w:ilvl w:val="1"/>
                <w:numId w:val="25"/>
              </w:numPr>
              <w:adjustRightInd w:val="0"/>
              <w:snapToGrid w:val="0"/>
              <w:rPr>
                <w:rFonts w:ascii="Times New Roman" w:hAnsi="Times New Roman"/>
                <w:sz w:val="18"/>
                <w:szCs w:val="20"/>
              </w:rPr>
            </w:pPr>
            <w:r>
              <w:rPr>
                <w:rFonts w:ascii="Times New Roman" w:hAnsi="Times New Roman"/>
                <w:sz w:val="18"/>
                <w:szCs w:val="20"/>
                <w:lang w:eastAsia="ko-KR"/>
              </w:rPr>
              <w:t>32 aggregated transmission might be sufficient for 0.1% target BLER</w:t>
            </w:r>
          </w:p>
          <w:p w14:paraId="16141AE0" w14:textId="77777777" w:rsidR="00AA4AC8" w:rsidRDefault="00AA4AC8">
            <w:pPr>
              <w:snapToGrid w:val="0"/>
              <w:spacing w:after="0"/>
              <w:ind w:right="-99"/>
              <w:rPr>
                <w:sz w:val="18"/>
                <w:lang w:eastAsia="ko-KR"/>
              </w:rPr>
            </w:pPr>
          </w:p>
          <w:p w14:paraId="1C57BBF3" w14:textId="77777777" w:rsidR="00AA4AC8" w:rsidRDefault="0082369C">
            <w:pPr>
              <w:overflowPunct/>
              <w:autoSpaceDE/>
              <w:autoSpaceDN/>
              <w:snapToGrid w:val="0"/>
              <w:spacing w:after="0"/>
              <w:textAlignment w:val="auto"/>
              <w:rPr>
                <w:sz w:val="18"/>
                <w:lang w:eastAsia="ko-KR"/>
              </w:rPr>
            </w:pPr>
            <w:r>
              <w:rPr>
                <w:sz w:val="18"/>
                <w:lang w:eastAsia="ko-KR"/>
              </w:rPr>
              <w:t>Proposal 2 : Consider more than 8 aggregated transmission for NTN PUSCH to achieve target BLER performance.</w:t>
            </w:r>
          </w:p>
          <w:p w14:paraId="6CD21212" w14:textId="77777777" w:rsidR="00AA4AC8" w:rsidRDefault="0082369C">
            <w:pPr>
              <w:pStyle w:val="afc"/>
              <w:numPr>
                <w:ilvl w:val="0"/>
                <w:numId w:val="25"/>
              </w:numPr>
              <w:adjustRightInd w:val="0"/>
              <w:snapToGrid w:val="0"/>
              <w:rPr>
                <w:rFonts w:ascii="Times New Roman" w:hAnsi="Times New Roman"/>
                <w:sz w:val="18"/>
                <w:szCs w:val="20"/>
                <w:lang w:eastAsia="ko-KR"/>
              </w:rPr>
            </w:pPr>
            <w:r>
              <w:rPr>
                <w:rFonts w:ascii="Times New Roman" w:hAnsi="Times New Roman"/>
                <w:sz w:val="18"/>
                <w:szCs w:val="20"/>
                <w:lang w:eastAsia="ko-KR"/>
              </w:rPr>
              <w:t>32 aggregated transmission might be insufficient even if low SE MCS table is applied.</w:t>
            </w:r>
          </w:p>
          <w:p w14:paraId="520C309A" w14:textId="77777777" w:rsidR="00AA4AC8" w:rsidRDefault="00AA4AC8">
            <w:pPr>
              <w:snapToGrid w:val="0"/>
              <w:spacing w:after="0"/>
              <w:ind w:right="-99"/>
              <w:rPr>
                <w:sz w:val="18"/>
                <w:lang w:eastAsia="ko-KR"/>
              </w:rPr>
            </w:pPr>
          </w:p>
          <w:p w14:paraId="38B16BB9" w14:textId="77777777" w:rsidR="00AA4AC8" w:rsidRDefault="0082369C">
            <w:pPr>
              <w:snapToGrid w:val="0"/>
              <w:spacing w:after="0"/>
              <w:ind w:right="-99"/>
              <w:rPr>
                <w:sz w:val="18"/>
                <w:lang w:eastAsia="ko-KR"/>
              </w:rPr>
            </w:pPr>
            <w:r>
              <w:rPr>
                <w:sz w:val="18"/>
                <w:lang w:eastAsia="ko-KR"/>
              </w:rPr>
              <w:t>Proposal 3 : Consider the enhancement via “different aggregation factors” as the one of the NTN’s transmission enhancement solutions.</w:t>
            </w:r>
          </w:p>
          <w:p w14:paraId="097E61A4" w14:textId="77777777" w:rsidR="00AA4AC8" w:rsidRDefault="0082369C">
            <w:pPr>
              <w:pStyle w:val="afc"/>
              <w:numPr>
                <w:ilvl w:val="0"/>
                <w:numId w:val="48"/>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lastRenderedPageBreak/>
              <w:t>the followings might be a start point for configuring different aggregation factors</w:t>
            </w:r>
          </w:p>
          <w:p w14:paraId="5074845A" w14:textId="77777777" w:rsidR="00AA4AC8" w:rsidRDefault="0082369C">
            <w:pPr>
              <w:pStyle w:val="afc"/>
              <w:numPr>
                <w:ilvl w:val="1"/>
                <w:numId w:val="48"/>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(a group of) MCS index</w:t>
            </w:r>
          </w:p>
          <w:p w14:paraId="21065E3E" w14:textId="77777777" w:rsidR="00AA4AC8" w:rsidRDefault="0082369C">
            <w:pPr>
              <w:pStyle w:val="afc"/>
              <w:numPr>
                <w:ilvl w:val="1"/>
                <w:numId w:val="48"/>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(a group of) RNTI type (or search space)</w:t>
            </w:r>
          </w:p>
          <w:p w14:paraId="0C5A396F" w14:textId="77777777" w:rsidR="00AA4AC8" w:rsidRDefault="0082369C">
            <w:pPr>
              <w:pStyle w:val="afc"/>
              <w:numPr>
                <w:ilvl w:val="1"/>
                <w:numId w:val="48"/>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HARQ feedback availability (enabled/disabled)</w:t>
            </w:r>
          </w:p>
          <w:p w14:paraId="7C5A00AE" w14:textId="77777777" w:rsidR="00AA4AC8" w:rsidRDefault="0082369C">
            <w:pPr>
              <w:pStyle w:val="afc"/>
              <w:numPr>
                <w:ilvl w:val="1"/>
                <w:numId w:val="48"/>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combinations of the above</w:t>
            </w:r>
          </w:p>
          <w:p w14:paraId="23D91D9B" w14:textId="77777777" w:rsidR="00AA4AC8" w:rsidRDefault="0082369C">
            <w:pPr>
              <w:pStyle w:val="afc"/>
              <w:numPr>
                <w:ilvl w:val="1"/>
                <w:numId w:val="48"/>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subsets of the above</w:t>
            </w:r>
          </w:p>
          <w:p w14:paraId="5B5189AA" w14:textId="77777777" w:rsidR="00AA4AC8" w:rsidRDefault="00AA4AC8">
            <w:pPr>
              <w:pStyle w:val="afc"/>
              <w:adjustRightInd w:val="0"/>
              <w:snapToGrid w:val="0"/>
              <w:ind w:left="1200" w:right="-99"/>
              <w:rPr>
                <w:rFonts w:ascii="Times New Roman" w:hAnsi="Times New Roman"/>
                <w:sz w:val="18"/>
                <w:szCs w:val="20"/>
                <w:lang w:eastAsia="ko-KR"/>
              </w:rPr>
            </w:pPr>
          </w:p>
          <w:p w14:paraId="621B2E19" w14:textId="77777777" w:rsidR="00AA4AC8" w:rsidRDefault="0082369C">
            <w:pPr>
              <w:snapToGrid w:val="0"/>
              <w:spacing w:after="0"/>
              <w:ind w:right="-99"/>
              <w:rPr>
                <w:sz w:val="18"/>
                <w:lang w:eastAsia="ko-KR"/>
              </w:rPr>
            </w:pPr>
            <w:r>
              <w:rPr>
                <w:sz w:val="18"/>
                <w:lang w:eastAsia="ko-KR"/>
              </w:rPr>
              <w:t>Proposal 4 : Consider the enhancement on the aggregated transmission guidance via “UL feedback” for adaptive aggregated transmission as the one of the NTN’s transmission enhancement solutions to achieve better adaptation performance.</w:t>
            </w:r>
          </w:p>
          <w:p w14:paraId="47C47223" w14:textId="77777777" w:rsidR="00AA4AC8" w:rsidRDefault="0082369C">
            <w:pPr>
              <w:pStyle w:val="afc"/>
              <w:numPr>
                <w:ilvl w:val="0"/>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UL feedback can include information such as</w:t>
            </w:r>
          </w:p>
          <w:p w14:paraId="565B889F"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request for guiding pdsch-AggregationFactor</w:t>
            </w:r>
          </w:p>
          <w:p w14:paraId="109528C9"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decoding statistics</w:t>
            </w:r>
          </w:p>
          <w:p w14:paraId="454A6582"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combination of the above</w:t>
            </w:r>
          </w:p>
          <w:p w14:paraId="522518CC" w14:textId="77777777" w:rsidR="00AA4AC8" w:rsidRDefault="0082369C">
            <w:pPr>
              <w:pStyle w:val="afc"/>
              <w:numPr>
                <w:ilvl w:val="0"/>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MAC-CE/RRC might be also acceptable, instead of UCI.</w:t>
            </w:r>
          </w:p>
          <w:p w14:paraId="74352B83"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for minimizing specification impact.</w:t>
            </w:r>
          </w:p>
          <w:p w14:paraId="36D345E3"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rPr>
              <w:t>for compensating low S(I)NR in NTN by using soft combinable retransmissions on PUSCH</w:t>
            </w:r>
          </w:p>
          <w:p w14:paraId="622CF4B2" w14:textId="77777777" w:rsidR="00AA4AC8" w:rsidRDefault="0082369C">
            <w:pPr>
              <w:pStyle w:val="afc"/>
              <w:numPr>
                <w:ilvl w:val="0"/>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if aggregation factor is not guided by UL feedback, fixed aggregation factor (non-optimal value) might cause the throughput loss</w:t>
            </w:r>
          </w:p>
          <w:p w14:paraId="71B44BB2"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for PDSCH: from 20.8% to 45.7% loss</w:t>
            </w:r>
          </w:p>
          <w:p w14:paraId="2CC8CF3F" w14:textId="77777777" w:rsidR="00AA4AC8" w:rsidRDefault="0082369C">
            <w:pPr>
              <w:pStyle w:val="afc"/>
              <w:numPr>
                <w:ilvl w:val="1"/>
                <w:numId w:val="49"/>
              </w:numPr>
              <w:overflowPunct w:val="0"/>
              <w:autoSpaceDE w:val="0"/>
              <w:autoSpaceDN w:val="0"/>
              <w:adjustRightInd w:val="0"/>
              <w:snapToGrid w:val="0"/>
              <w:ind w:right="-99"/>
              <w:textAlignment w:val="baseline"/>
              <w:rPr>
                <w:rFonts w:ascii="Times New Roman" w:hAnsi="Times New Roman"/>
                <w:sz w:val="18"/>
                <w:szCs w:val="20"/>
                <w:lang w:eastAsia="ko-KR"/>
              </w:rPr>
            </w:pPr>
            <w:r>
              <w:rPr>
                <w:rFonts w:ascii="Times New Roman" w:hAnsi="Times New Roman"/>
                <w:sz w:val="18"/>
                <w:szCs w:val="20"/>
                <w:lang w:eastAsia="ko-KR"/>
              </w:rPr>
              <w:t>for PUSCH: from 16.2% to 51% loss</w:t>
            </w:r>
          </w:p>
          <w:p w14:paraId="2EC366CD" w14:textId="77777777" w:rsidR="00AA4AC8" w:rsidRDefault="00AA4AC8">
            <w:pPr>
              <w:pStyle w:val="af1"/>
              <w:tabs>
                <w:tab w:val="right" w:leader="dot" w:pos="9629"/>
              </w:tabs>
              <w:adjustRightInd w:val="0"/>
              <w:snapToGrid w:val="0"/>
              <w:spacing w:after="0"/>
              <w:rPr>
                <w:rFonts w:ascii="Times New Roman" w:hAnsi="Times New Roman" w:cs="Times New Roman"/>
                <w:b w:val="0"/>
                <w:sz w:val="18"/>
                <w:szCs w:val="20"/>
              </w:rPr>
            </w:pPr>
          </w:p>
        </w:tc>
      </w:tr>
      <w:tr w:rsidR="00AA4AC8" w14:paraId="15EBF818" w14:textId="77777777">
        <w:trPr>
          <w:trHeight w:val="398"/>
          <w:jc w:val="center"/>
        </w:trPr>
        <w:tc>
          <w:tcPr>
            <w:tcW w:w="1883" w:type="dxa"/>
            <w:shd w:val="clear" w:color="auto" w:fill="auto"/>
            <w:vAlign w:val="center"/>
          </w:tcPr>
          <w:p w14:paraId="00C00360" w14:textId="77777777" w:rsidR="00AA4AC8" w:rsidRDefault="0082369C">
            <w:pPr>
              <w:snapToGrid w:val="0"/>
              <w:spacing w:after="0"/>
              <w:jc w:val="center"/>
              <w:rPr>
                <w:bCs/>
                <w:sz w:val="18"/>
              </w:rPr>
            </w:pPr>
            <w:r>
              <w:rPr>
                <w:bCs/>
                <w:sz w:val="18"/>
              </w:rPr>
              <w:lastRenderedPageBreak/>
              <w:t>R1-2112106</w:t>
            </w:r>
          </w:p>
          <w:p w14:paraId="614E222F" w14:textId="77777777" w:rsidR="00AA4AC8" w:rsidRDefault="0082369C">
            <w:pPr>
              <w:snapToGrid w:val="0"/>
              <w:spacing w:after="0"/>
              <w:jc w:val="center"/>
              <w:rPr>
                <w:sz w:val="18"/>
              </w:rPr>
            </w:pPr>
            <w:r>
              <w:rPr>
                <w:bCs/>
                <w:sz w:val="18"/>
              </w:rPr>
              <w:t>NTT DCM</w:t>
            </w:r>
          </w:p>
        </w:tc>
        <w:tc>
          <w:tcPr>
            <w:tcW w:w="8744" w:type="dxa"/>
            <w:vAlign w:val="center"/>
          </w:tcPr>
          <w:p w14:paraId="0D825AA4" w14:textId="77777777" w:rsidR="00AA4AC8" w:rsidRDefault="0082369C">
            <w:pPr>
              <w:snapToGrid w:val="0"/>
              <w:spacing w:after="0"/>
              <w:jc w:val="both"/>
              <w:rPr>
                <w:rFonts w:eastAsiaTheme="minorEastAsia"/>
                <w:sz w:val="18"/>
                <w:u w:val="single"/>
              </w:rPr>
            </w:pPr>
            <w:r>
              <w:rPr>
                <w:rFonts w:eastAsiaTheme="minorEastAsia"/>
                <w:sz w:val="18"/>
                <w:u w:val="single"/>
              </w:rPr>
              <w:t>Observation 1:</w:t>
            </w:r>
          </w:p>
          <w:p w14:paraId="5CDC044B"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Success/failure of SPS activation command reception should be informed to gNB in any case; otherwise, all subsequent SPS PDSCHs are missed at the UE if the activation command is missed.</w:t>
            </w:r>
          </w:p>
          <w:p w14:paraId="7F9D8C5B"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UE always reports HARQ-ACK for release DCI as agreed. The same direction for activation DCI is the most reasonable.</w:t>
            </w:r>
          </w:p>
          <w:p w14:paraId="5A1E7A77"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gNB cannot control this issue appropriately without reliability degradation or wasted resources.</w:t>
            </w:r>
          </w:p>
          <w:p w14:paraId="5E4D075D"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Configurability of whether this mechanism is used or not is a good direction for both NTN and MBS.</w:t>
            </w:r>
          </w:p>
          <w:p w14:paraId="4C205659" w14:textId="77777777" w:rsidR="00AA4AC8" w:rsidRDefault="0082369C">
            <w:pPr>
              <w:snapToGrid w:val="0"/>
              <w:spacing w:after="0"/>
              <w:jc w:val="both"/>
              <w:rPr>
                <w:rFonts w:eastAsiaTheme="minorEastAsia"/>
                <w:sz w:val="18"/>
                <w:u w:val="single"/>
              </w:rPr>
            </w:pPr>
            <w:r>
              <w:rPr>
                <w:rFonts w:eastAsiaTheme="minorEastAsia"/>
                <w:sz w:val="18"/>
                <w:u w:val="single"/>
              </w:rPr>
              <w:t>Proposal 1:</w:t>
            </w:r>
          </w:p>
          <w:p w14:paraId="0F9D6CD3"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Introduce a higher layer parameter to control feedback enabling/disabling for SPS activation.</w:t>
            </w:r>
          </w:p>
          <w:p w14:paraId="2564A1FC"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If configured, UE performs HARQ feedback corresponding to the initial SPS PDSCH assigned by DCI with SPS activation command, regardless of feedback-enabled/disabled configuration.</w:t>
            </w:r>
          </w:p>
          <w:p w14:paraId="20A71764"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Otherwise, UE follows the feedback-enabled/disabled configuration.</w:t>
            </w:r>
          </w:p>
          <w:p w14:paraId="45391ECF" w14:textId="77777777" w:rsidR="00AA4AC8" w:rsidRDefault="0082369C">
            <w:pPr>
              <w:snapToGrid w:val="0"/>
              <w:spacing w:after="0"/>
              <w:jc w:val="both"/>
              <w:rPr>
                <w:rFonts w:eastAsiaTheme="minorEastAsia"/>
                <w:sz w:val="18"/>
                <w:u w:val="single"/>
              </w:rPr>
            </w:pPr>
            <w:r>
              <w:rPr>
                <w:rFonts w:eastAsiaTheme="minorEastAsia"/>
                <w:sz w:val="18"/>
                <w:u w:val="single"/>
              </w:rPr>
              <w:t>Observation 2:</w:t>
            </w:r>
          </w:p>
          <w:p w14:paraId="3B5FCFFA"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If feedback-enabling/disabling configuration per HARQ process is common between dynamic PDSCH and SPS PDSCH, many HARQ processes would be configured with enabled feedback so that enabled feedback is applied to all of the SPS receptions.</w:t>
            </w:r>
          </w:p>
          <w:p w14:paraId="65BA8F6C"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This aspect degrades flexibility of dynamic PDSCH scheduling with disabled feedback.</w:t>
            </w:r>
          </w:p>
          <w:p w14:paraId="411D07C3" w14:textId="77777777" w:rsidR="00AA4AC8" w:rsidRDefault="0082369C">
            <w:pPr>
              <w:snapToGrid w:val="0"/>
              <w:spacing w:after="0"/>
              <w:jc w:val="both"/>
              <w:rPr>
                <w:rFonts w:eastAsiaTheme="minorEastAsia"/>
                <w:sz w:val="18"/>
                <w:u w:val="single"/>
              </w:rPr>
            </w:pPr>
            <w:r>
              <w:rPr>
                <w:rFonts w:eastAsiaTheme="minorEastAsia"/>
                <w:sz w:val="18"/>
                <w:u w:val="single"/>
              </w:rPr>
              <w:t>Proposal 2:</w:t>
            </w:r>
          </w:p>
          <w:p w14:paraId="11BFA267"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Enabling/disabling HARQ feedback per HARQ process can separately be configured between dynamic PDSCH and SPS PDSCH.</w:t>
            </w:r>
          </w:p>
          <w:p w14:paraId="7FC605BB" w14:textId="77777777" w:rsidR="00AA4AC8" w:rsidRDefault="0082369C">
            <w:pPr>
              <w:snapToGrid w:val="0"/>
              <w:spacing w:after="0"/>
              <w:jc w:val="both"/>
              <w:rPr>
                <w:rFonts w:eastAsiaTheme="minorEastAsia"/>
                <w:sz w:val="18"/>
                <w:u w:val="single"/>
              </w:rPr>
            </w:pPr>
            <w:r>
              <w:rPr>
                <w:rFonts w:eastAsiaTheme="minorEastAsia"/>
                <w:sz w:val="18"/>
                <w:u w:val="single"/>
              </w:rPr>
              <w:t>Proposal 3:</w:t>
            </w:r>
          </w:p>
          <w:p w14:paraId="6AD6DF9A"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Update the RAN1#105-e agreement:</w:t>
            </w:r>
          </w:p>
          <w:p w14:paraId="504CFCC6"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Pr>
                <w:rFonts w:eastAsiaTheme="minorEastAsia"/>
                <w:color w:val="FF0000"/>
                <w:sz w:val="18"/>
                <w:u w:val="single"/>
              </w:rPr>
              <w:t>or the PDSCH without corresponding PDCCH</w:t>
            </w:r>
            <w:r>
              <w:rPr>
                <w:rFonts w:eastAsiaTheme="minorEastAsia"/>
                <w:color w:val="FF0000"/>
                <w:sz w:val="18"/>
              </w:rPr>
              <w:t xml:space="preserve"> </w:t>
            </w:r>
            <w:r>
              <w:rPr>
                <w:rFonts w:eastAsiaTheme="minorEastAsia"/>
                <w:sz w:val="18"/>
              </w:rPr>
              <w:t>for the given HARQ process.</w:t>
            </w:r>
          </w:p>
          <w:p w14:paraId="348A0C13" w14:textId="77777777" w:rsidR="00AA4AC8" w:rsidRDefault="0082369C">
            <w:pPr>
              <w:snapToGrid w:val="0"/>
              <w:spacing w:after="0"/>
              <w:jc w:val="both"/>
              <w:rPr>
                <w:rFonts w:eastAsiaTheme="minorEastAsia"/>
                <w:sz w:val="18"/>
                <w:u w:val="single"/>
              </w:rPr>
            </w:pPr>
            <w:r>
              <w:rPr>
                <w:rFonts w:eastAsiaTheme="minorEastAsia"/>
                <w:sz w:val="18"/>
                <w:u w:val="single"/>
              </w:rPr>
              <w:t>Observation 3:</w:t>
            </w:r>
          </w:p>
          <w:p w14:paraId="2EFE0E12"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When small periodicity is used for the SPS compared to slot offset between the initial PDSCH reception and the corresponding HARQ feedback, many subsequent SPS PDSCHs shall be transmitted before this HARQ feedback reception at gNB.</w:t>
            </w:r>
          </w:p>
          <w:p w14:paraId="636E81DB"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This situation leads to less efficiency and higher difficulty of other HARQ feedback scheduling and PUSCH scheduling due to misalignment between gNB and UE.</w:t>
            </w:r>
          </w:p>
          <w:p w14:paraId="2178AD0A" w14:textId="77777777" w:rsidR="00AA4AC8" w:rsidRDefault="0082369C">
            <w:pPr>
              <w:snapToGrid w:val="0"/>
              <w:spacing w:after="0"/>
              <w:jc w:val="both"/>
              <w:rPr>
                <w:rFonts w:eastAsiaTheme="minorEastAsia"/>
                <w:sz w:val="18"/>
                <w:u w:val="single"/>
              </w:rPr>
            </w:pPr>
            <w:r>
              <w:rPr>
                <w:rFonts w:eastAsiaTheme="minorEastAsia"/>
                <w:sz w:val="18"/>
                <w:u w:val="single"/>
              </w:rPr>
              <w:t>Proposal 4:</w:t>
            </w:r>
          </w:p>
          <w:p w14:paraId="2D93237D"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Introduce enhancement to avoid many subsequent SPS PDSCH receptions before confirming successful activation command. The following are possible options.</w:t>
            </w:r>
          </w:p>
          <w:p w14:paraId="00C53780"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Option 1: SPS PDSCH receptions are started after feedback slot corresponding to activation DCI.</w:t>
            </w:r>
          </w:p>
          <w:p w14:paraId="28EEC8BF"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Option 2: 2nd SPS PDSCH is received after feedback slot corresponding to activation DCI.</w:t>
            </w:r>
          </w:p>
          <w:p w14:paraId="6B981769" w14:textId="77777777" w:rsidR="00AA4AC8" w:rsidRDefault="0082369C">
            <w:pPr>
              <w:snapToGrid w:val="0"/>
              <w:spacing w:after="0"/>
              <w:jc w:val="both"/>
              <w:rPr>
                <w:rFonts w:eastAsiaTheme="minorEastAsia"/>
                <w:sz w:val="18"/>
                <w:u w:val="single"/>
              </w:rPr>
            </w:pPr>
            <w:r>
              <w:rPr>
                <w:rFonts w:eastAsiaTheme="minorEastAsia"/>
                <w:sz w:val="18"/>
                <w:u w:val="single"/>
              </w:rPr>
              <w:t>Observation 4:</w:t>
            </w:r>
          </w:p>
          <w:p w14:paraId="44C6FC2F"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 xml:space="preserve">For Type-1 HARQ codebook, if only DCI carrying feedback-disabled HARQ process is detected by UE, Option 2 is a more complicated option rather than an easier option from perspectives of gNB scheduler and </w:t>
            </w:r>
            <w:r>
              <w:rPr>
                <w:rFonts w:eastAsiaTheme="minorEastAsia"/>
                <w:sz w:val="18"/>
              </w:rPr>
              <w:lastRenderedPageBreak/>
              <w:t>UE soft-buffer management due to the following scheduling restriction in current spec, which is not aligned with the agreed processing time constraints.</w:t>
            </w:r>
          </w:p>
          <w:p w14:paraId="20C58200" w14:textId="77777777" w:rsidR="00AA4AC8" w:rsidRDefault="0082369C">
            <w:pPr>
              <w:numPr>
                <w:ilvl w:val="1"/>
                <w:numId w:val="21"/>
              </w:numPr>
              <w:overflowPunct/>
              <w:autoSpaceDE/>
              <w:autoSpaceDN/>
              <w:snapToGrid w:val="0"/>
              <w:spacing w:after="0"/>
              <w:jc w:val="both"/>
              <w:textAlignment w:val="auto"/>
              <w:rPr>
                <w:rFonts w:eastAsiaTheme="minorEastAsia"/>
                <w:sz w:val="18"/>
              </w:rPr>
            </w:pPr>
            <w:r>
              <w:rPr>
                <w:rFonts w:eastAsiaTheme="minorEastAsia"/>
                <w:sz w:val="18"/>
              </w:rPr>
              <w:t>From 38.214: ... The UE is not expected to receive another PDSCH for a given HARQ process until after the end of the expected transmission of HARQ-ACK for that HARQ process, where the timing is given by Clause 9.2.3 of [6]. ...</w:t>
            </w:r>
          </w:p>
          <w:p w14:paraId="5418F531"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In Option 1, Decoding performance can be improved since the NACK bits are pre-known at gNB</w:t>
            </w:r>
          </w:p>
          <w:p w14:paraId="5C8345AC" w14:textId="77777777" w:rsidR="00AA4AC8" w:rsidRDefault="0082369C">
            <w:pPr>
              <w:snapToGrid w:val="0"/>
              <w:spacing w:after="0"/>
              <w:jc w:val="both"/>
              <w:rPr>
                <w:rFonts w:eastAsiaTheme="minorEastAsia"/>
                <w:sz w:val="18"/>
                <w:u w:val="single"/>
              </w:rPr>
            </w:pPr>
            <w:r>
              <w:rPr>
                <w:rFonts w:eastAsiaTheme="minorEastAsia"/>
                <w:sz w:val="18"/>
                <w:u w:val="single"/>
              </w:rPr>
              <w:t>Proposal 5:</w:t>
            </w:r>
          </w:p>
          <w:p w14:paraId="3314AE67"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For Type-1 HARQ codebook, if DCIs carrying the feedback-disabled and feedback-enabled HARQ processes are detected by UE, Option 1 is supported.</w:t>
            </w:r>
          </w:p>
          <w:p w14:paraId="3B7373DE" w14:textId="77777777" w:rsidR="00AA4AC8" w:rsidRDefault="0082369C">
            <w:pPr>
              <w:snapToGrid w:val="0"/>
              <w:spacing w:after="0"/>
              <w:jc w:val="both"/>
              <w:rPr>
                <w:rFonts w:eastAsiaTheme="minorEastAsia"/>
                <w:sz w:val="18"/>
                <w:u w:val="single"/>
              </w:rPr>
            </w:pPr>
            <w:r>
              <w:rPr>
                <w:rFonts w:eastAsiaTheme="minorEastAsia"/>
                <w:sz w:val="18"/>
                <w:u w:val="single"/>
              </w:rPr>
              <w:t>Observation 5:</w:t>
            </w:r>
          </w:p>
          <w:p w14:paraId="5730EC4E"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There is no special handling in Rel-15/16 for the case when gNB transmits a DCI with feedback request but the UE misses the DCI. For example, if the indicated PUCCH for the feedback is overlapped with other PUCCH with SR/CSI, the UE will transmit only the PUCCH with SR/CSI in this case.</w:t>
            </w:r>
          </w:p>
          <w:p w14:paraId="0AE65251" w14:textId="77777777" w:rsidR="00AA4AC8" w:rsidRDefault="0082369C">
            <w:pPr>
              <w:snapToGrid w:val="0"/>
              <w:spacing w:after="0"/>
              <w:jc w:val="both"/>
              <w:rPr>
                <w:rFonts w:eastAsiaTheme="minorEastAsia"/>
                <w:sz w:val="18"/>
                <w:u w:val="single"/>
              </w:rPr>
            </w:pPr>
            <w:r>
              <w:rPr>
                <w:rFonts w:eastAsiaTheme="minorEastAsia"/>
                <w:sz w:val="18"/>
                <w:u w:val="single"/>
              </w:rPr>
              <w:t>Proposal 6:</w:t>
            </w:r>
          </w:p>
          <w:p w14:paraId="40F0A912"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 xml:space="preserve">For Type-1 HARQ codebook, if only DCI carrying feedback-disabled HARQ process is detected by UE, UE skips the codebook feedback. </w:t>
            </w:r>
          </w:p>
          <w:p w14:paraId="6B92E17E" w14:textId="77777777" w:rsidR="00AA4AC8" w:rsidRDefault="0082369C">
            <w:pPr>
              <w:snapToGrid w:val="0"/>
              <w:spacing w:after="0"/>
              <w:jc w:val="both"/>
              <w:rPr>
                <w:rFonts w:eastAsiaTheme="minorEastAsia"/>
                <w:sz w:val="18"/>
                <w:u w:val="single"/>
              </w:rPr>
            </w:pPr>
            <w:r>
              <w:rPr>
                <w:rFonts w:eastAsiaTheme="minorEastAsia"/>
                <w:sz w:val="18"/>
                <w:u w:val="single"/>
              </w:rPr>
              <w:t>Proposal 7:</w:t>
            </w:r>
          </w:p>
          <w:p w14:paraId="7CE18353"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For the DCI of PDSCH with feedback-disabled HARQ processes, Option 1 is supported for type-2 HARQ-ACK CB.</w:t>
            </w:r>
          </w:p>
          <w:p w14:paraId="7277FE5C" w14:textId="77777777" w:rsidR="00AA4AC8" w:rsidRDefault="0082369C">
            <w:pPr>
              <w:snapToGrid w:val="0"/>
              <w:spacing w:after="0"/>
              <w:jc w:val="both"/>
              <w:rPr>
                <w:rFonts w:eastAsiaTheme="minorEastAsia"/>
                <w:sz w:val="18"/>
                <w:u w:val="single"/>
              </w:rPr>
            </w:pPr>
            <w:r>
              <w:rPr>
                <w:rFonts w:eastAsiaTheme="minorEastAsia"/>
                <w:sz w:val="18"/>
                <w:u w:val="single"/>
              </w:rPr>
              <w:t>Observation 6:</w:t>
            </w:r>
          </w:p>
          <w:p w14:paraId="00660F54"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 xml:space="preserve">Indication of SCell dormancy without scheduling a PDSCH reception is quite similar to SPS release. </w:t>
            </w:r>
          </w:p>
          <w:p w14:paraId="6666BF63" w14:textId="77777777" w:rsidR="00AA4AC8" w:rsidRDefault="0082369C">
            <w:pPr>
              <w:snapToGrid w:val="0"/>
              <w:spacing w:after="0"/>
              <w:jc w:val="both"/>
              <w:rPr>
                <w:rFonts w:eastAsiaTheme="minorEastAsia"/>
                <w:sz w:val="18"/>
                <w:u w:val="single"/>
              </w:rPr>
            </w:pPr>
            <w:r>
              <w:rPr>
                <w:rFonts w:eastAsiaTheme="minorEastAsia"/>
                <w:sz w:val="18"/>
                <w:u w:val="single"/>
              </w:rPr>
              <w:t>Proposal 8:</w:t>
            </w:r>
          </w:p>
          <w:p w14:paraId="0EC929D0"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 xml:space="preserve">For DCI indicating SCell dormancy without scheduling a PDSCH reception, HARQ-ACK report is as in Rel-16. </w:t>
            </w:r>
          </w:p>
          <w:p w14:paraId="5655C131" w14:textId="77777777" w:rsidR="00AA4AC8" w:rsidRDefault="0082369C">
            <w:pPr>
              <w:snapToGrid w:val="0"/>
              <w:spacing w:after="0"/>
              <w:jc w:val="both"/>
              <w:rPr>
                <w:rFonts w:eastAsiaTheme="minorEastAsia"/>
                <w:sz w:val="18"/>
                <w:u w:val="single"/>
              </w:rPr>
            </w:pPr>
            <w:r>
              <w:rPr>
                <w:rFonts w:eastAsiaTheme="minorEastAsia"/>
                <w:sz w:val="18"/>
                <w:u w:val="single"/>
              </w:rPr>
              <w:t>Proposal 9:</w:t>
            </w:r>
          </w:p>
          <w:p w14:paraId="32E14A38" w14:textId="77777777" w:rsidR="00AA4AC8" w:rsidRDefault="0082369C">
            <w:pPr>
              <w:numPr>
                <w:ilvl w:val="0"/>
                <w:numId w:val="21"/>
              </w:numPr>
              <w:overflowPunct/>
              <w:autoSpaceDE/>
              <w:autoSpaceDN/>
              <w:snapToGrid w:val="0"/>
              <w:spacing w:after="0"/>
              <w:jc w:val="both"/>
              <w:textAlignment w:val="auto"/>
              <w:rPr>
                <w:rFonts w:eastAsiaTheme="minorEastAsia"/>
                <w:sz w:val="18"/>
              </w:rPr>
            </w:pPr>
            <w:r>
              <w:rPr>
                <w:rFonts w:eastAsiaTheme="minorEastAsia"/>
                <w:sz w:val="18"/>
              </w:rPr>
              <w:t>Specify that UE expects that MAC-CEs are transmitted using HARQ processes with enabled feedback.</w:t>
            </w:r>
          </w:p>
          <w:p w14:paraId="07E922E2" w14:textId="77777777" w:rsidR="00AA4AC8" w:rsidRPr="009858B0" w:rsidRDefault="0082369C">
            <w:pPr>
              <w:numPr>
                <w:ilvl w:val="0"/>
                <w:numId w:val="21"/>
              </w:numPr>
              <w:overflowPunct/>
              <w:autoSpaceDE/>
              <w:autoSpaceDN/>
              <w:snapToGrid w:val="0"/>
              <w:spacing w:after="0"/>
              <w:jc w:val="both"/>
              <w:textAlignment w:val="auto"/>
              <w:rPr>
                <w:sz w:val="18"/>
                <w:lang w:val="en-US"/>
              </w:rPr>
            </w:pPr>
            <w:r>
              <w:rPr>
                <w:rFonts w:eastAsiaTheme="minorEastAsia"/>
                <w:sz w:val="18"/>
              </w:rPr>
              <w:t>Specify that UE expects that successRAR is transmitted using HARQ processes with enabled feedback.</w:t>
            </w:r>
          </w:p>
        </w:tc>
      </w:tr>
      <w:tr w:rsidR="00AA4AC8" w14:paraId="1CEE9F56" w14:textId="77777777">
        <w:trPr>
          <w:trHeight w:val="398"/>
          <w:jc w:val="center"/>
        </w:trPr>
        <w:tc>
          <w:tcPr>
            <w:tcW w:w="1883" w:type="dxa"/>
            <w:shd w:val="clear" w:color="auto" w:fill="auto"/>
            <w:vAlign w:val="center"/>
          </w:tcPr>
          <w:p w14:paraId="189968D8" w14:textId="77777777" w:rsidR="00AA4AC8" w:rsidRDefault="0082369C">
            <w:pPr>
              <w:snapToGrid w:val="0"/>
              <w:spacing w:after="0"/>
              <w:jc w:val="center"/>
              <w:rPr>
                <w:sz w:val="18"/>
              </w:rPr>
            </w:pPr>
            <w:r>
              <w:rPr>
                <w:sz w:val="18"/>
              </w:rPr>
              <w:lastRenderedPageBreak/>
              <w:t>R1-2112215 QC</w:t>
            </w:r>
          </w:p>
        </w:tc>
        <w:tc>
          <w:tcPr>
            <w:tcW w:w="8744" w:type="dxa"/>
            <w:vAlign w:val="center"/>
          </w:tcPr>
          <w:p w14:paraId="5057DBD1" w14:textId="77777777" w:rsidR="00AA4AC8" w:rsidRDefault="0082369C">
            <w:pPr>
              <w:snapToGrid w:val="0"/>
              <w:spacing w:after="0"/>
              <w:rPr>
                <w:sz w:val="18"/>
              </w:rPr>
            </w:pPr>
            <w:r>
              <w:rPr>
                <w:sz w:val="18"/>
              </w:rPr>
              <w:t xml:space="preserve">Proposal 1: For Type-2 codebook generation, the UE assumes that the C-DAI and T-DAI of the DCI of PDSCH with feedback-disabled process is the same as the C_DAI and T-DAI of the ost recently transmitted DCI of PDSCH with feedback-enabled process by gNB.  </w:t>
            </w:r>
          </w:p>
          <w:p w14:paraId="5598C75A" w14:textId="77777777" w:rsidR="00AA4AC8" w:rsidRDefault="0082369C">
            <w:pPr>
              <w:snapToGrid w:val="0"/>
              <w:spacing w:after="0"/>
              <w:rPr>
                <w:bCs/>
                <w:sz w:val="18"/>
              </w:rPr>
            </w:pPr>
            <w:r>
              <w:rPr>
                <w:bCs/>
                <w:sz w:val="18"/>
              </w:rPr>
              <w:t xml:space="preserve">Proposal 2: For Type-2 HARQ codebook, support spatial bundling of all feedback bits in a codebook if the number of feedback bits without bundling is less than or equal to </w:t>
            </w:r>
            <w:r>
              <w:rPr>
                <w:bCs/>
                <w:iCs/>
                <w:sz w:val="18"/>
              </w:rPr>
              <w:t>N</w:t>
            </w:r>
            <w:r>
              <w:rPr>
                <w:bCs/>
                <w:sz w:val="18"/>
              </w:rPr>
              <w:t xml:space="preserve">. </w:t>
            </w:r>
          </w:p>
          <w:p w14:paraId="6124AD26" w14:textId="77777777" w:rsidR="00AA4AC8" w:rsidRDefault="0082369C">
            <w:pPr>
              <w:pStyle w:val="afc"/>
              <w:numPr>
                <w:ilvl w:val="0"/>
                <w:numId w:val="50"/>
              </w:numPr>
              <w:adjustRightInd w:val="0"/>
              <w:snapToGrid w:val="0"/>
              <w:rPr>
                <w:rFonts w:ascii="Times New Roman" w:hAnsi="Times New Roman"/>
                <w:bCs/>
                <w:sz w:val="18"/>
                <w:szCs w:val="20"/>
              </w:rPr>
            </w:pPr>
            <w:r>
              <w:rPr>
                <w:rFonts w:ascii="Times New Roman" w:hAnsi="Times New Roman"/>
                <w:bCs/>
                <w:sz w:val="18"/>
                <w:szCs w:val="20"/>
              </w:rPr>
              <w:t xml:space="preserve">FFS: the value of </w:t>
            </w:r>
            <w:r>
              <w:rPr>
                <w:rFonts w:ascii="Times New Roman" w:hAnsi="Times New Roman"/>
                <w:bCs/>
                <w:iCs/>
                <w:sz w:val="18"/>
                <w:szCs w:val="20"/>
              </w:rPr>
              <w:t>N</w:t>
            </w:r>
            <w:r>
              <w:rPr>
                <w:rFonts w:ascii="Times New Roman" w:hAnsi="Times New Roman"/>
                <w:bCs/>
                <w:sz w:val="18"/>
                <w:szCs w:val="20"/>
              </w:rPr>
              <w:t xml:space="preserve">. </w:t>
            </w:r>
          </w:p>
          <w:p w14:paraId="57136265" w14:textId="77777777" w:rsidR="00AA4AC8" w:rsidRDefault="0082369C">
            <w:pPr>
              <w:snapToGrid w:val="0"/>
              <w:spacing w:after="0"/>
              <w:rPr>
                <w:bCs/>
                <w:sz w:val="18"/>
              </w:rPr>
            </w:pPr>
            <w:r>
              <w:rPr>
                <w:bCs/>
                <w:sz w:val="18"/>
              </w:rPr>
              <w:t>Proposal 3: For Type-1 codebook, UE reports a NACK for a bit corresponding to a PDSCH/TB of HARQ process with feedback disabled.</w:t>
            </w:r>
          </w:p>
          <w:p w14:paraId="1DB2A37F" w14:textId="77777777" w:rsidR="00AA4AC8" w:rsidRDefault="0082369C">
            <w:pPr>
              <w:snapToGrid w:val="0"/>
              <w:spacing w:after="0"/>
              <w:rPr>
                <w:bCs/>
                <w:sz w:val="18"/>
              </w:rPr>
            </w:pPr>
            <w:r>
              <w:rPr>
                <w:bCs/>
                <w:sz w:val="18"/>
              </w:rPr>
              <w:t>Proposal 4: For DL HARQ processes with HARQ feedback disabled, initial transmissions shall use RV 0 and retransmissions shall not use RV 0.</w:t>
            </w:r>
          </w:p>
          <w:p w14:paraId="6936FAB4" w14:textId="77777777" w:rsidR="00AA4AC8" w:rsidRDefault="0082369C">
            <w:pPr>
              <w:snapToGrid w:val="0"/>
              <w:spacing w:after="0"/>
              <w:rPr>
                <w:rFonts w:eastAsia="Calibri"/>
                <w:bCs/>
                <w:sz w:val="18"/>
              </w:rPr>
            </w:pPr>
            <w:r>
              <w:rPr>
                <w:rFonts w:eastAsia="Calibri"/>
                <w:bCs/>
                <w:sz w:val="18"/>
              </w:rPr>
              <w:t xml:space="preserve">Proposal 5: For NTN, UE may receive a DCI scheduling a PUSCH of a given HARQ process before the end of the transmission of another PUSCH of that HARQ process. </w:t>
            </w:r>
          </w:p>
          <w:p w14:paraId="7D3CB4BD" w14:textId="77777777" w:rsidR="00AA4AC8" w:rsidRDefault="00AA4AC8">
            <w:pPr>
              <w:snapToGrid w:val="0"/>
              <w:spacing w:after="0"/>
              <w:jc w:val="both"/>
              <w:rPr>
                <w:rFonts w:eastAsia="MS Mincho"/>
                <w:sz w:val="18"/>
                <w:lang w:eastAsia="ja-JP"/>
              </w:rPr>
            </w:pPr>
          </w:p>
        </w:tc>
      </w:tr>
      <w:tr w:rsidR="00AA4AC8" w14:paraId="617A063C" w14:textId="77777777">
        <w:trPr>
          <w:trHeight w:val="398"/>
          <w:jc w:val="center"/>
        </w:trPr>
        <w:tc>
          <w:tcPr>
            <w:tcW w:w="1883" w:type="dxa"/>
            <w:shd w:val="clear" w:color="auto" w:fill="auto"/>
            <w:vAlign w:val="center"/>
          </w:tcPr>
          <w:p w14:paraId="096376A5" w14:textId="77777777" w:rsidR="00AA4AC8" w:rsidRDefault="0082369C">
            <w:pPr>
              <w:snapToGrid w:val="0"/>
              <w:spacing w:after="0"/>
              <w:jc w:val="center"/>
              <w:rPr>
                <w:sz w:val="18"/>
              </w:rPr>
            </w:pPr>
            <w:r>
              <w:rPr>
                <w:sz w:val="18"/>
              </w:rPr>
              <w:t>R1-2112335 ITL</w:t>
            </w:r>
          </w:p>
        </w:tc>
        <w:tc>
          <w:tcPr>
            <w:tcW w:w="8744" w:type="dxa"/>
            <w:vAlign w:val="center"/>
          </w:tcPr>
          <w:p w14:paraId="47CB4798" w14:textId="77777777" w:rsidR="00AA4AC8" w:rsidRDefault="0082369C">
            <w:pPr>
              <w:pStyle w:val="aff1"/>
              <w:adjustRightInd w:val="0"/>
              <w:snapToGrid w:val="0"/>
              <w:spacing w:before="0" w:after="0"/>
              <w:rPr>
                <w:rFonts w:ascii="Times New Roman" w:hAnsi="Times New Roman" w:cs="Times New Roman"/>
                <w:bCs/>
                <w:iCs/>
                <w:sz w:val="18"/>
                <w:lang w:eastAsia="ko-KR"/>
              </w:rPr>
            </w:pPr>
            <w:r>
              <w:rPr>
                <w:rFonts w:ascii="Times New Roman" w:hAnsi="Times New Roman" w:cs="Times New Roman"/>
                <w:bCs/>
                <w:iCs/>
                <w:sz w:val="18"/>
                <w:lang w:eastAsia="ko-KR"/>
              </w:rPr>
              <w:t>Proposal 1. For both type-1 and type-3 HARQ-ACK codebook, it is supported for UE to skip the HARQ-ACK feedback associated with PDSCH occasions if only DCI carrying feedback-disabled HARQ process is detected by UE.</w:t>
            </w:r>
          </w:p>
          <w:p w14:paraId="5C868023" w14:textId="77777777" w:rsidR="00AA4AC8" w:rsidRDefault="0082369C">
            <w:pPr>
              <w:pStyle w:val="aff1"/>
              <w:adjustRightInd w:val="0"/>
              <w:snapToGrid w:val="0"/>
              <w:spacing w:before="0" w:after="0"/>
              <w:rPr>
                <w:rFonts w:ascii="Times New Roman" w:hAnsi="Times New Roman" w:cs="Times New Roman"/>
                <w:bCs/>
                <w:iCs/>
                <w:sz w:val="18"/>
                <w:lang w:eastAsia="ko-KR"/>
              </w:rPr>
            </w:pPr>
            <w:r>
              <w:rPr>
                <w:rFonts w:ascii="Times New Roman" w:hAnsi="Times New Roman" w:cs="Times New Roman"/>
                <w:bCs/>
                <w:iCs/>
                <w:sz w:val="18"/>
                <w:lang w:eastAsia="ko-KR"/>
              </w:rPr>
              <w:t xml:space="preserve">Proposal 2. For type-2 HARQ-ACK codebook, it is supported that UE does not expect to multiplex in Type-2 HARQ-ACK codebook HARQ-ACK information </w:t>
            </w:r>
            <w:r>
              <w:rPr>
                <w:rFonts w:ascii="Times New Roman" w:eastAsia="Batang" w:hAnsi="Times New Roman" w:cs="Times New Roman"/>
                <w:bCs/>
                <w:iCs/>
                <w:sz w:val="18"/>
                <w:lang w:eastAsia="ko-KR"/>
              </w:rPr>
              <w:t>that is in response to a detection of the DCI format 1_2 that does not include a DAI field.</w:t>
            </w:r>
          </w:p>
          <w:p w14:paraId="2EEEAA77" w14:textId="77777777" w:rsidR="00AA4AC8" w:rsidRDefault="0082369C">
            <w:pPr>
              <w:pStyle w:val="aff1"/>
              <w:adjustRightInd w:val="0"/>
              <w:snapToGrid w:val="0"/>
              <w:spacing w:before="0" w:after="0"/>
              <w:rPr>
                <w:rFonts w:ascii="Times New Roman" w:hAnsi="Times New Roman" w:cs="Times New Roman"/>
                <w:bCs/>
                <w:iCs/>
                <w:sz w:val="18"/>
                <w:lang w:eastAsia="ko-KR"/>
              </w:rPr>
            </w:pPr>
            <w:r>
              <w:rPr>
                <w:rFonts w:ascii="Times New Roman" w:hAnsi="Times New Roman" w:cs="Times New Roman"/>
                <w:bCs/>
                <w:iCs/>
                <w:sz w:val="18"/>
                <w:lang w:eastAsia="ko-KR"/>
              </w:rPr>
              <w:t>Proposal 3. It is proposed to support explicit DCI signaling for skipping HARQ-ACK feedback by reusing PUCCH resource indication field in the DCI.</w:t>
            </w:r>
          </w:p>
          <w:p w14:paraId="150E525A" w14:textId="77777777" w:rsidR="00AA4AC8" w:rsidRPr="009858B0" w:rsidRDefault="0082369C">
            <w:pPr>
              <w:pStyle w:val="aff1"/>
              <w:adjustRightInd w:val="0"/>
              <w:snapToGrid w:val="0"/>
              <w:spacing w:before="0" w:after="0"/>
              <w:rPr>
                <w:rFonts w:ascii="Times New Roman" w:hAnsi="Times New Roman" w:cs="Times New Roman"/>
                <w:bCs/>
                <w:sz w:val="18"/>
                <w:lang w:val="en-US" w:eastAsia="zh-TW"/>
              </w:rPr>
            </w:pPr>
            <w:r>
              <w:rPr>
                <w:rFonts w:ascii="Times New Roman" w:hAnsi="Times New Roman" w:cs="Times New Roman"/>
                <w:bCs/>
                <w:iCs/>
                <w:sz w:val="18"/>
                <w:lang w:eastAsia="ko-KR"/>
              </w:rPr>
              <w:t xml:space="preserve">Proposal 4. It is proposed to support that SPS PDSCH with HARQ FB enabling with lowest configured sps-ConfigIndex should be firstly selected/prioritized when more than one SPS PDSCH configurations are in a slot </w:t>
            </w:r>
          </w:p>
        </w:tc>
      </w:tr>
      <w:tr w:rsidR="00AA4AC8" w14:paraId="5E43EF1A" w14:textId="77777777">
        <w:trPr>
          <w:trHeight w:val="398"/>
          <w:jc w:val="center"/>
        </w:trPr>
        <w:tc>
          <w:tcPr>
            <w:tcW w:w="1883" w:type="dxa"/>
            <w:shd w:val="clear" w:color="auto" w:fill="auto"/>
            <w:vAlign w:val="center"/>
          </w:tcPr>
          <w:p w14:paraId="214E06D6" w14:textId="77777777" w:rsidR="00AA4AC8" w:rsidRDefault="00AA4AC8">
            <w:pPr>
              <w:snapToGrid w:val="0"/>
              <w:spacing w:after="0"/>
              <w:jc w:val="center"/>
              <w:rPr>
                <w:sz w:val="18"/>
              </w:rPr>
            </w:pPr>
          </w:p>
        </w:tc>
        <w:tc>
          <w:tcPr>
            <w:tcW w:w="8744" w:type="dxa"/>
            <w:vAlign w:val="center"/>
          </w:tcPr>
          <w:p w14:paraId="49690DD1" w14:textId="77777777" w:rsidR="00AA4AC8" w:rsidRDefault="00AA4AC8">
            <w:pPr>
              <w:snapToGrid w:val="0"/>
              <w:spacing w:after="0"/>
              <w:rPr>
                <w:bCs/>
                <w:sz w:val="18"/>
                <w:lang w:eastAsia="zh-TW"/>
              </w:rPr>
            </w:pPr>
          </w:p>
        </w:tc>
      </w:tr>
    </w:tbl>
    <w:p w14:paraId="6F38B307" w14:textId="77777777" w:rsidR="00AA4AC8" w:rsidRDefault="0082369C">
      <w:pPr>
        <w:tabs>
          <w:tab w:val="left" w:pos="2404"/>
        </w:tabs>
        <w:rPr>
          <w:rFonts w:eastAsiaTheme="minorEastAsia"/>
        </w:rPr>
      </w:pPr>
      <w:r>
        <w:rPr>
          <w:rFonts w:eastAsiaTheme="minorEastAsia"/>
        </w:rPr>
        <w:tab/>
      </w:r>
    </w:p>
    <w:sectPr w:rsidR="00AA4AC8">
      <w:headerReference w:type="even" r:id="rId19"/>
      <w:footerReference w:type="even" r:id="rId20"/>
      <w:footerReference w:type="default" r:id="rId2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66979" w14:textId="77777777" w:rsidR="00931197" w:rsidRDefault="00931197">
      <w:pPr>
        <w:spacing w:after="0"/>
      </w:pPr>
      <w:r>
        <w:separator/>
      </w:r>
    </w:p>
  </w:endnote>
  <w:endnote w:type="continuationSeparator" w:id="0">
    <w:p w14:paraId="4C87E916" w14:textId="77777777" w:rsidR="00931197" w:rsidRDefault="00931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736A6B" w14:textId="77777777" w:rsidR="00AA4AC8" w:rsidRDefault="0082369C">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FC64EE9" w14:textId="77777777" w:rsidR="00AA4AC8" w:rsidRDefault="00AA4AC8">
    <w:pPr>
      <w:pStyle w:val="ad"/>
      <w:ind w:right="360"/>
    </w:pPr>
  </w:p>
  <w:p w14:paraId="45CDF16C" w14:textId="77777777" w:rsidR="00AA4AC8" w:rsidRDefault="00AA4AC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E3826" w14:textId="77777777" w:rsidR="00AA4AC8" w:rsidRDefault="0082369C">
    <w:pPr>
      <w:pStyle w:val="ad"/>
      <w:ind w:right="360"/>
    </w:pPr>
    <w:r>
      <w:rPr>
        <w:rStyle w:val="af6"/>
      </w:rPr>
      <w:fldChar w:fldCharType="begin"/>
    </w:r>
    <w:r>
      <w:rPr>
        <w:rStyle w:val="af6"/>
      </w:rPr>
      <w:instrText xml:space="preserve"> PAGE </w:instrText>
    </w:r>
    <w:r>
      <w:rPr>
        <w:rStyle w:val="af6"/>
      </w:rPr>
      <w:fldChar w:fldCharType="separate"/>
    </w:r>
    <w:r w:rsidR="0008432E">
      <w:rPr>
        <w:rStyle w:val="af6"/>
        <w:noProof/>
      </w:rPr>
      <w:t>30</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08432E">
      <w:rPr>
        <w:rStyle w:val="af6"/>
        <w:noProof/>
      </w:rPr>
      <w:t>41</w:t>
    </w:r>
    <w:r>
      <w:rPr>
        <w:rStyle w:val="af6"/>
      </w:rPr>
      <w:fldChar w:fldCharType="end"/>
    </w:r>
  </w:p>
  <w:p w14:paraId="4CBCF0E8" w14:textId="77777777" w:rsidR="00AA4AC8" w:rsidRDefault="00AA4A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5EB64" w14:textId="77777777" w:rsidR="00931197" w:rsidRDefault="00931197">
      <w:pPr>
        <w:spacing w:after="0"/>
      </w:pPr>
      <w:r>
        <w:separator/>
      </w:r>
    </w:p>
  </w:footnote>
  <w:footnote w:type="continuationSeparator" w:id="0">
    <w:p w14:paraId="66DF640C" w14:textId="77777777" w:rsidR="00931197" w:rsidRDefault="009311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4646" w14:textId="77777777" w:rsidR="00AA4AC8" w:rsidRDefault="0082369C">
    <w:r>
      <w:t xml:space="preserve">Page </w:t>
    </w:r>
    <w:r>
      <w:fldChar w:fldCharType="begin"/>
    </w:r>
    <w:r>
      <w:instrText>PAGE</w:instrText>
    </w:r>
    <w:r>
      <w:fldChar w:fldCharType="separate"/>
    </w:r>
    <w:r>
      <w:t>1</w:t>
    </w:r>
    <w:r>
      <w:fldChar w:fldCharType="end"/>
    </w:r>
  </w:p>
  <w:p w14:paraId="068DB3E4" w14:textId="77777777" w:rsidR="00AA4AC8" w:rsidRDefault="00AA4A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F090DF"/>
    <w:multiLevelType w:val="singleLevel"/>
    <w:tmpl w:val="8AF090DF"/>
    <w:lvl w:ilvl="0">
      <w:start w:val="1"/>
      <w:numFmt w:val="decimal"/>
      <w:suff w:val="space"/>
      <w:lvlText w:val="%1)"/>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F429D8"/>
    <w:multiLevelType w:val="multilevel"/>
    <w:tmpl w:val="04F42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809D9"/>
    <w:multiLevelType w:val="multilevel"/>
    <w:tmpl w:val="07E809D9"/>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E12CC6"/>
    <w:multiLevelType w:val="multilevel"/>
    <w:tmpl w:val="09E12CC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9E70413"/>
    <w:multiLevelType w:val="multilevel"/>
    <w:tmpl w:val="09E704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7501A6"/>
    <w:multiLevelType w:val="multilevel"/>
    <w:tmpl w:val="0D7501A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5E2303B"/>
    <w:multiLevelType w:val="multilevel"/>
    <w:tmpl w:val="15E2303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C4A01E1"/>
    <w:multiLevelType w:val="multilevel"/>
    <w:tmpl w:val="1C4A01E1"/>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0" w15:restartNumberingAfterBreak="0">
    <w:nsid w:val="1DBF65DE"/>
    <w:multiLevelType w:val="multilevel"/>
    <w:tmpl w:val="1DBF65D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24FE4F66"/>
    <w:multiLevelType w:val="multilevel"/>
    <w:tmpl w:val="24FE4F6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5C47B09"/>
    <w:multiLevelType w:val="multilevel"/>
    <w:tmpl w:val="25C47B09"/>
    <w:lvl w:ilvl="0">
      <w:numFmt w:val="bullet"/>
      <w:lvlText w:val="-"/>
      <w:lvlJc w:val="left"/>
      <w:pPr>
        <w:ind w:left="910" w:hanging="400"/>
      </w:pPr>
      <w:rPr>
        <w:rFonts w:ascii="Times New Roman" w:eastAsia="宋体" w:hAnsi="Times New Roman" w:cs="Times New Roman" w:hint="default"/>
      </w:rPr>
    </w:lvl>
    <w:lvl w:ilvl="1">
      <w:start w:val="1"/>
      <w:numFmt w:val="bullet"/>
      <w:lvlText w:val=""/>
      <w:lvlJc w:val="left"/>
      <w:pPr>
        <w:ind w:left="1310" w:hanging="400"/>
      </w:pPr>
      <w:rPr>
        <w:rFonts w:ascii="Wingdings" w:hAnsi="Wingdings"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14" w15:restartNumberingAfterBreak="0">
    <w:nsid w:val="26D15A12"/>
    <w:multiLevelType w:val="multilevel"/>
    <w:tmpl w:val="26D15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E4208C"/>
    <w:multiLevelType w:val="multilevel"/>
    <w:tmpl w:val="26E4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D756A2"/>
    <w:multiLevelType w:val="multilevel"/>
    <w:tmpl w:val="29D756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9DB0139"/>
    <w:multiLevelType w:val="multilevel"/>
    <w:tmpl w:val="29DB01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5421EA"/>
    <w:multiLevelType w:val="multilevel"/>
    <w:tmpl w:val="2D5421EA"/>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0" w15:restartNumberingAfterBreak="0">
    <w:nsid w:val="319B5517"/>
    <w:multiLevelType w:val="multilevel"/>
    <w:tmpl w:val="319B5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325DCA"/>
    <w:multiLevelType w:val="multilevel"/>
    <w:tmpl w:val="36325DCA"/>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2" w15:restartNumberingAfterBreak="0">
    <w:nsid w:val="38ED2E19"/>
    <w:multiLevelType w:val="hybridMultilevel"/>
    <w:tmpl w:val="663A2B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1D00064"/>
    <w:multiLevelType w:val="multilevel"/>
    <w:tmpl w:val="41D0006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56D2F68"/>
    <w:multiLevelType w:val="multilevel"/>
    <w:tmpl w:val="456D2F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46A86878"/>
    <w:multiLevelType w:val="multilevel"/>
    <w:tmpl w:val="46A868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804361"/>
    <w:multiLevelType w:val="multilevel"/>
    <w:tmpl w:val="4A80436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F25088"/>
    <w:multiLevelType w:val="hybridMultilevel"/>
    <w:tmpl w:val="C6CC132A"/>
    <w:lvl w:ilvl="0" w:tplc="04090001">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0" w15:restartNumberingAfterBreak="0">
    <w:nsid w:val="4ED4671C"/>
    <w:multiLevelType w:val="multilevel"/>
    <w:tmpl w:val="4ED4671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0B753E4"/>
    <w:multiLevelType w:val="multilevel"/>
    <w:tmpl w:val="50B753E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9A4825"/>
    <w:multiLevelType w:val="multilevel"/>
    <w:tmpl w:val="519A48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52D9288D"/>
    <w:multiLevelType w:val="hybridMultilevel"/>
    <w:tmpl w:val="B5D68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43519C"/>
    <w:multiLevelType w:val="multilevel"/>
    <w:tmpl w:val="5443519C"/>
    <w:lvl w:ilvl="0">
      <w:start w:val="1"/>
      <w:numFmt w:val="bullet"/>
      <w:lvlText w:val=""/>
      <w:lvlJc w:val="left"/>
      <w:pPr>
        <w:ind w:left="720" w:hanging="360"/>
      </w:pPr>
      <w:rPr>
        <w:rFonts w:ascii="Symbol" w:hAnsi="Symbol"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DC46F5C"/>
    <w:multiLevelType w:val="multilevel"/>
    <w:tmpl w:val="5DC46F5C"/>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CC77AE"/>
    <w:multiLevelType w:val="multilevel"/>
    <w:tmpl w:val="66CC77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7991AAE"/>
    <w:multiLevelType w:val="multilevel"/>
    <w:tmpl w:val="67991AAE"/>
    <w:lvl w:ilvl="0">
      <w:start w:val="1"/>
      <w:numFmt w:val="bullet"/>
      <w:lvlText w:val=""/>
      <w:lvlJc w:val="left"/>
      <w:pPr>
        <w:ind w:left="980" w:hanging="420"/>
      </w:pPr>
      <w:rPr>
        <w:rFonts w:ascii="Wingdings" w:hAnsi="Wingdings"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41" w15:restartNumberingAfterBreak="0">
    <w:nsid w:val="67E46F4B"/>
    <w:multiLevelType w:val="multilevel"/>
    <w:tmpl w:val="67E46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2"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3" w15:restartNumberingAfterBreak="0">
    <w:nsid w:val="69465E5B"/>
    <w:multiLevelType w:val="multilevel"/>
    <w:tmpl w:val="69465E5B"/>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5" w15:restartNumberingAfterBreak="0">
    <w:nsid w:val="6F2B10C1"/>
    <w:multiLevelType w:val="multilevel"/>
    <w:tmpl w:val="6F2B10C1"/>
    <w:lvl w:ilvl="0">
      <w:start w:val="1"/>
      <w:numFmt w:val="bullet"/>
      <w:lvlText w:val=""/>
      <w:lvlJc w:val="left"/>
      <w:pPr>
        <w:ind w:left="844" w:hanging="420"/>
      </w:pPr>
      <w:rPr>
        <w:rFonts w:ascii="Wingdings" w:hAnsi="Wingdings" w:hint="default"/>
      </w:rPr>
    </w:lvl>
    <w:lvl w:ilvl="1">
      <w:start w:val="1"/>
      <w:numFmt w:val="bullet"/>
      <w:lvlText w:val=""/>
      <w:lvlJc w:val="left"/>
      <w:pPr>
        <w:ind w:left="1264" w:hanging="420"/>
      </w:pPr>
      <w:rPr>
        <w:rFonts w:ascii="Wingdings" w:hAnsi="Wingdings" w:hint="default"/>
      </w:rPr>
    </w:lvl>
    <w:lvl w:ilvl="2">
      <w:numFmt w:val="bullet"/>
      <w:lvlText w:val="-"/>
      <w:lvlJc w:val="left"/>
      <w:pPr>
        <w:ind w:left="1684" w:hanging="420"/>
      </w:pPr>
      <w:rPr>
        <w:rFonts w:ascii="Times New Roman" w:eastAsia="宋体" w:hAnsi="Times New Roman" w:cs="Times New Roman"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46" w15:restartNumberingAfterBreak="0">
    <w:nsid w:val="777B6DEA"/>
    <w:multiLevelType w:val="multilevel"/>
    <w:tmpl w:val="777B6DEA"/>
    <w:lvl w:ilvl="0">
      <w:start w:val="1"/>
      <w:numFmt w:val="decimal"/>
      <w:lvlText w:val="Proposal %1:"/>
      <w:lvlJc w:val="left"/>
      <w:pPr>
        <w:ind w:left="1134" w:hanging="1134"/>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7FD0950"/>
    <w:multiLevelType w:val="multilevel"/>
    <w:tmpl w:val="77FD0950"/>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7B443B4E"/>
    <w:multiLevelType w:val="multilevel"/>
    <w:tmpl w:val="7B443B4E"/>
    <w:lvl w:ilvl="0">
      <w:start w:val="2"/>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585C75"/>
    <w:multiLevelType w:val="multilevel"/>
    <w:tmpl w:val="7D585C7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DC308E3"/>
    <w:multiLevelType w:val="multilevel"/>
    <w:tmpl w:val="7DC30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327901"/>
    <w:multiLevelType w:val="multilevel"/>
    <w:tmpl w:val="7F327901"/>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8"/>
  </w:num>
  <w:num w:numId="2">
    <w:abstractNumId w:val="49"/>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8"/>
  </w:num>
  <w:num w:numId="6">
    <w:abstractNumId w:val="2"/>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42"/>
  </w:num>
  <w:num w:numId="10">
    <w:abstractNumId w:val="11"/>
  </w:num>
  <w:num w:numId="11">
    <w:abstractNumId w:val="44"/>
  </w:num>
  <w:num w:numId="12">
    <w:abstractNumId w:val="35"/>
  </w:num>
  <w:num w:numId="13">
    <w:abstractNumId w:val="27"/>
  </w:num>
  <w:num w:numId="14">
    <w:abstractNumId w:val="26"/>
  </w:num>
  <w:num w:numId="15">
    <w:abstractNumId w:val="45"/>
  </w:num>
  <w:num w:numId="16">
    <w:abstractNumId w:val="51"/>
  </w:num>
  <w:num w:numId="17">
    <w:abstractNumId w:val="0"/>
  </w:num>
  <w:num w:numId="18">
    <w:abstractNumId w:val="36"/>
  </w:num>
  <w:num w:numId="19">
    <w:abstractNumId w:val="21"/>
  </w:num>
  <w:num w:numId="20">
    <w:abstractNumId w:val="28"/>
  </w:num>
  <w:num w:numId="21">
    <w:abstractNumId w:val="15"/>
  </w:num>
  <w:num w:numId="22">
    <w:abstractNumId w:val="9"/>
  </w:num>
  <w:num w:numId="23">
    <w:abstractNumId w:val="40"/>
  </w:num>
  <w:num w:numId="24">
    <w:abstractNumId w:val="20"/>
  </w:num>
  <w:num w:numId="25">
    <w:abstractNumId w:val="7"/>
  </w:num>
  <w:num w:numId="26">
    <w:abstractNumId w:val="6"/>
  </w:num>
  <w:num w:numId="27">
    <w:abstractNumId w:val="19"/>
  </w:num>
  <w:num w:numId="28">
    <w:abstractNumId w:val="37"/>
  </w:num>
  <w:num w:numId="29">
    <w:abstractNumId w:val="41"/>
  </w:num>
  <w:num w:numId="30">
    <w:abstractNumId w:val="47"/>
  </w:num>
  <w:num w:numId="31">
    <w:abstractNumId w:val="46"/>
  </w:num>
  <w:num w:numId="32">
    <w:abstractNumId w:val="4"/>
  </w:num>
  <w:num w:numId="33">
    <w:abstractNumId w:val="16"/>
  </w:num>
  <w:num w:numId="34">
    <w:abstractNumId w:val="43"/>
  </w:num>
  <w:num w:numId="35">
    <w:abstractNumId w:val="39"/>
  </w:num>
  <w:num w:numId="36">
    <w:abstractNumId w:val="10"/>
  </w:num>
  <w:num w:numId="37">
    <w:abstractNumId w:val="31"/>
  </w:num>
  <w:num w:numId="38">
    <w:abstractNumId w:val="14"/>
  </w:num>
  <w:num w:numId="39">
    <w:abstractNumId w:val="13"/>
  </w:num>
  <w:num w:numId="40">
    <w:abstractNumId w:val="48"/>
  </w:num>
  <w:num w:numId="41">
    <w:abstractNumId w:val="24"/>
  </w:num>
  <w:num w:numId="42">
    <w:abstractNumId w:val="33"/>
  </w:num>
  <w:num w:numId="43">
    <w:abstractNumId w:val="8"/>
  </w:num>
  <w:num w:numId="44">
    <w:abstractNumId w:val="50"/>
  </w:num>
  <w:num w:numId="45">
    <w:abstractNumId w:val="30"/>
  </w:num>
  <w:num w:numId="46">
    <w:abstractNumId w:val="5"/>
  </w:num>
  <w:num w:numId="47">
    <w:abstractNumId w:val="17"/>
  </w:num>
  <w:num w:numId="48">
    <w:abstractNumId w:val="52"/>
  </w:num>
  <w:num w:numId="49">
    <w:abstractNumId w:val="12"/>
  </w:num>
  <w:num w:numId="50">
    <w:abstractNumId w:val="3"/>
  </w:num>
  <w:num w:numId="51">
    <w:abstractNumId w:val="34"/>
  </w:num>
  <w:num w:numId="52">
    <w:abstractNumId w:val="22"/>
  </w:num>
  <w:num w:numId="53">
    <w:abstractNumId w:val="29"/>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shio Akihiko (西尾 昭彦)">
    <w15:presenceInfo w15:providerId="AD" w15:userId="S::nishio.akihiko@jp.panasonic.com::656986d5-6b92-4651-bf58-96735af5482b"/>
  </w15:person>
  <w15:person w15:author="CAICT">
    <w15:presenceInfo w15:providerId="None" w15:userId="CAI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50"/>
    <w:rsid w:val="000004CA"/>
    <w:rsid w:val="000004DB"/>
    <w:rsid w:val="00000515"/>
    <w:rsid w:val="00000963"/>
    <w:rsid w:val="00000ECA"/>
    <w:rsid w:val="00000F2A"/>
    <w:rsid w:val="00001431"/>
    <w:rsid w:val="0000183C"/>
    <w:rsid w:val="0000195E"/>
    <w:rsid w:val="00001F40"/>
    <w:rsid w:val="00001FC3"/>
    <w:rsid w:val="000021CE"/>
    <w:rsid w:val="00002375"/>
    <w:rsid w:val="00002459"/>
    <w:rsid w:val="000024CE"/>
    <w:rsid w:val="0000255C"/>
    <w:rsid w:val="000025C0"/>
    <w:rsid w:val="000029A6"/>
    <w:rsid w:val="00002BF0"/>
    <w:rsid w:val="00003131"/>
    <w:rsid w:val="000032AF"/>
    <w:rsid w:val="000033FC"/>
    <w:rsid w:val="0000364E"/>
    <w:rsid w:val="00003772"/>
    <w:rsid w:val="000037FB"/>
    <w:rsid w:val="00004556"/>
    <w:rsid w:val="00004885"/>
    <w:rsid w:val="00004A82"/>
    <w:rsid w:val="00004CD0"/>
    <w:rsid w:val="00004CE6"/>
    <w:rsid w:val="00004D8C"/>
    <w:rsid w:val="00004DCB"/>
    <w:rsid w:val="00004E10"/>
    <w:rsid w:val="00005026"/>
    <w:rsid w:val="000051F0"/>
    <w:rsid w:val="00005327"/>
    <w:rsid w:val="0000553B"/>
    <w:rsid w:val="00005714"/>
    <w:rsid w:val="00006009"/>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1004F"/>
    <w:rsid w:val="000101EF"/>
    <w:rsid w:val="0001027B"/>
    <w:rsid w:val="00010300"/>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311A"/>
    <w:rsid w:val="0001321B"/>
    <w:rsid w:val="00013633"/>
    <w:rsid w:val="000137FF"/>
    <w:rsid w:val="00013B63"/>
    <w:rsid w:val="000141F0"/>
    <w:rsid w:val="000144E8"/>
    <w:rsid w:val="00014514"/>
    <w:rsid w:val="00014734"/>
    <w:rsid w:val="00014D13"/>
    <w:rsid w:val="00015802"/>
    <w:rsid w:val="00015BCB"/>
    <w:rsid w:val="00015F9D"/>
    <w:rsid w:val="000162B2"/>
    <w:rsid w:val="00016DCE"/>
    <w:rsid w:val="00016FF6"/>
    <w:rsid w:val="0001729B"/>
    <w:rsid w:val="00017309"/>
    <w:rsid w:val="000178B8"/>
    <w:rsid w:val="000178F6"/>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22F7"/>
    <w:rsid w:val="000226C1"/>
    <w:rsid w:val="00022808"/>
    <w:rsid w:val="000228C4"/>
    <w:rsid w:val="00022F07"/>
    <w:rsid w:val="00023312"/>
    <w:rsid w:val="00023545"/>
    <w:rsid w:val="00023564"/>
    <w:rsid w:val="000235F3"/>
    <w:rsid w:val="0002398B"/>
    <w:rsid w:val="00023C29"/>
    <w:rsid w:val="000242C0"/>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66"/>
    <w:rsid w:val="00030911"/>
    <w:rsid w:val="00030E16"/>
    <w:rsid w:val="00030ED5"/>
    <w:rsid w:val="00030F74"/>
    <w:rsid w:val="000310A5"/>
    <w:rsid w:val="00031119"/>
    <w:rsid w:val="0003118F"/>
    <w:rsid w:val="000311D2"/>
    <w:rsid w:val="00031242"/>
    <w:rsid w:val="00031EDD"/>
    <w:rsid w:val="00032043"/>
    <w:rsid w:val="000320B5"/>
    <w:rsid w:val="0003219D"/>
    <w:rsid w:val="000321DC"/>
    <w:rsid w:val="0003294B"/>
    <w:rsid w:val="00032A64"/>
    <w:rsid w:val="00032D38"/>
    <w:rsid w:val="00032D5A"/>
    <w:rsid w:val="00032FE5"/>
    <w:rsid w:val="0003327C"/>
    <w:rsid w:val="000334D2"/>
    <w:rsid w:val="00033834"/>
    <w:rsid w:val="00033944"/>
    <w:rsid w:val="00033A55"/>
    <w:rsid w:val="00033AE8"/>
    <w:rsid w:val="00033DDC"/>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C4"/>
    <w:rsid w:val="00045120"/>
    <w:rsid w:val="0004516E"/>
    <w:rsid w:val="000451E5"/>
    <w:rsid w:val="000453F6"/>
    <w:rsid w:val="00045CE8"/>
    <w:rsid w:val="00046851"/>
    <w:rsid w:val="00046CD6"/>
    <w:rsid w:val="00046CE4"/>
    <w:rsid w:val="00046EDF"/>
    <w:rsid w:val="00046F9A"/>
    <w:rsid w:val="0004713D"/>
    <w:rsid w:val="000472F3"/>
    <w:rsid w:val="000475B5"/>
    <w:rsid w:val="000477BB"/>
    <w:rsid w:val="00047993"/>
    <w:rsid w:val="00047A82"/>
    <w:rsid w:val="00047C05"/>
    <w:rsid w:val="0005018F"/>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DAB"/>
    <w:rsid w:val="00054DB4"/>
    <w:rsid w:val="0005504C"/>
    <w:rsid w:val="0005579A"/>
    <w:rsid w:val="00055873"/>
    <w:rsid w:val="00055B8E"/>
    <w:rsid w:val="00055E96"/>
    <w:rsid w:val="00055F7B"/>
    <w:rsid w:val="0005602E"/>
    <w:rsid w:val="00056057"/>
    <w:rsid w:val="000562A6"/>
    <w:rsid w:val="000562B6"/>
    <w:rsid w:val="000565B1"/>
    <w:rsid w:val="00056B2D"/>
    <w:rsid w:val="00056BB0"/>
    <w:rsid w:val="00056DE6"/>
    <w:rsid w:val="000572A7"/>
    <w:rsid w:val="00057460"/>
    <w:rsid w:val="00057511"/>
    <w:rsid w:val="00057980"/>
    <w:rsid w:val="00057AD4"/>
    <w:rsid w:val="00057B3D"/>
    <w:rsid w:val="00057C5E"/>
    <w:rsid w:val="00057DF9"/>
    <w:rsid w:val="00057F2C"/>
    <w:rsid w:val="00057F68"/>
    <w:rsid w:val="00057F6C"/>
    <w:rsid w:val="00057FE7"/>
    <w:rsid w:val="00060035"/>
    <w:rsid w:val="0006034B"/>
    <w:rsid w:val="00060586"/>
    <w:rsid w:val="00060873"/>
    <w:rsid w:val="00060FDB"/>
    <w:rsid w:val="000612C5"/>
    <w:rsid w:val="000614FC"/>
    <w:rsid w:val="0006192C"/>
    <w:rsid w:val="00061989"/>
    <w:rsid w:val="00061E34"/>
    <w:rsid w:val="000621A9"/>
    <w:rsid w:val="00062624"/>
    <w:rsid w:val="0006263A"/>
    <w:rsid w:val="000632B7"/>
    <w:rsid w:val="0006333C"/>
    <w:rsid w:val="00063463"/>
    <w:rsid w:val="00063480"/>
    <w:rsid w:val="00063485"/>
    <w:rsid w:val="000636BA"/>
    <w:rsid w:val="00063E29"/>
    <w:rsid w:val="00063F4D"/>
    <w:rsid w:val="00063F57"/>
    <w:rsid w:val="0006436D"/>
    <w:rsid w:val="000645E4"/>
    <w:rsid w:val="0006480B"/>
    <w:rsid w:val="00064A2B"/>
    <w:rsid w:val="00064D36"/>
    <w:rsid w:val="00064D3C"/>
    <w:rsid w:val="00064D7C"/>
    <w:rsid w:val="00064F49"/>
    <w:rsid w:val="0006549C"/>
    <w:rsid w:val="00065D64"/>
    <w:rsid w:val="00065D87"/>
    <w:rsid w:val="00065E95"/>
    <w:rsid w:val="000663FC"/>
    <w:rsid w:val="000667D1"/>
    <w:rsid w:val="00066850"/>
    <w:rsid w:val="00066B8E"/>
    <w:rsid w:val="00066E05"/>
    <w:rsid w:val="00067087"/>
    <w:rsid w:val="000671F8"/>
    <w:rsid w:val="00067200"/>
    <w:rsid w:val="0006739D"/>
    <w:rsid w:val="00067436"/>
    <w:rsid w:val="000674DD"/>
    <w:rsid w:val="0006777C"/>
    <w:rsid w:val="00067FE2"/>
    <w:rsid w:val="00070164"/>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2FF"/>
    <w:rsid w:val="000735CE"/>
    <w:rsid w:val="00073785"/>
    <w:rsid w:val="00074350"/>
    <w:rsid w:val="00074375"/>
    <w:rsid w:val="000743A0"/>
    <w:rsid w:val="00074976"/>
    <w:rsid w:val="00074B0A"/>
    <w:rsid w:val="00074BF5"/>
    <w:rsid w:val="00075094"/>
    <w:rsid w:val="0007517D"/>
    <w:rsid w:val="00075292"/>
    <w:rsid w:val="000752CD"/>
    <w:rsid w:val="00075680"/>
    <w:rsid w:val="0007590A"/>
    <w:rsid w:val="00075999"/>
    <w:rsid w:val="00075AB9"/>
    <w:rsid w:val="00076168"/>
    <w:rsid w:val="00076574"/>
    <w:rsid w:val="00076C2C"/>
    <w:rsid w:val="00076E78"/>
    <w:rsid w:val="0007747E"/>
    <w:rsid w:val="00077579"/>
    <w:rsid w:val="00077BA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A49"/>
    <w:rsid w:val="00082F7B"/>
    <w:rsid w:val="0008324B"/>
    <w:rsid w:val="00083322"/>
    <w:rsid w:val="00083391"/>
    <w:rsid w:val="00083788"/>
    <w:rsid w:val="000839CE"/>
    <w:rsid w:val="000839E8"/>
    <w:rsid w:val="00083EBD"/>
    <w:rsid w:val="0008405D"/>
    <w:rsid w:val="00084255"/>
    <w:rsid w:val="00084320"/>
    <w:rsid w:val="0008432E"/>
    <w:rsid w:val="000843CF"/>
    <w:rsid w:val="000844D8"/>
    <w:rsid w:val="000844DE"/>
    <w:rsid w:val="00084E16"/>
    <w:rsid w:val="0008510C"/>
    <w:rsid w:val="000851BD"/>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714"/>
    <w:rsid w:val="00091A73"/>
    <w:rsid w:val="00091C08"/>
    <w:rsid w:val="00091C60"/>
    <w:rsid w:val="000921E3"/>
    <w:rsid w:val="00092334"/>
    <w:rsid w:val="000931C3"/>
    <w:rsid w:val="000937B7"/>
    <w:rsid w:val="00093AA7"/>
    <w:rsid w:val="00093B23"/>
    <w:rsid w:val="00093EA6"/>
    <w:rsid w:val="00093F8B"/>
    <w:rsid w:val="0009437A"/>
    <w:rsid w:val="000943A7"/>
    <w:rsid w:val="00094751"/>
    <w:rsid w:val="000947B7"/>
    <w:rsid w:val="000947DB"/>
    <w:rsid w:val="00094BB0"/>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0D"/>
    <w:rsid w:val="0009709B"/>
    <w:rsid w:val="00097215"/>
    <w:rsid w:val="00097244"/>
    <w:rsid w:val="000972CD"/>
    <w:rsid w:val="00097347"/>
    <w:rsid w:val="000974F2"/>
    <w:rsid w:val="000979F0"/>
    <w:rsid w:val="00097A82"/>
    <w:rsid w:val="00097AE8"/>
    <w:rsid w:val="00097B61"/>
    <w:rsid w:val="000A013C"/>
    <w:rsid w:val="000A02DC"/>
    <w:rsid w:val="000A060F"/>
    <w:rsid w:val="000A0869"/>
    <w:rsid w:val="000A0A1D"/>
    <w:rsid w:val="000A0C46"/>
    <w:rsid w:val="000A0CA1"/>
    <w:rsid w:val="000A0E99"/>
    <w:rsid w:val="000A0EF6"/>
    <w:rsid w:val="000A1AD3"/>
    <w:rsid w:val="000A1B13"/>
    <w:rsid w:val="000A1D49"/>
    <w:rsid w:val="000A23B7"/>
    <w:rsid w:val="000A2405"/>
    <w:rsid w:val="000A2783"/>
    <w:rsid w:val="000A2D70"/>
    <w:rsid w:val="000A2EEC"/>
    <w:rsid w:val="000A310F"/>
    <w:rsid w:val="000A3135"/>
    <w:rsid w:val="000A336F"/>
    <w:rsid w:val="000A34D8"/>
    <w:rsid w:val="000A3580"/>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514"/>
    <w:rsid w:val="000A768D"/>
    <w:rsid w:val="000A78A3"/>
    <w:rsid w:val="000A7C88"/>
    <w:rsid w:val="000A7C9E"/>
    <w:rsid w:val="000A7E17"/>
    <w:rsid w:val="000B016D"/>
    <w:rsid w:val="000B02C2"/>
    <w:rsid w:val="000B03D0"/>
    <w:rsid w:val="000B0454"/>
    <w:rsid w:val="000B07D5"/>
    <w:rsid w:val="000B081C"/>
    <w:rsid w:val="000B0A3E"/>
    <w:rsid w:val="000B0DA6"/>
    <w:rsid w:val="000B10AB"/>
    <w:rsid w:val="000B140D"/>
    <w:rsid w:val="000B17A1"/>
    <w:rsid w:val="000B1CD3"/>
    <w:rsid w:val="000B256B"/>
    <w:rsid w:val="000B2AAA"/>
    <w:rsid w:val="000B2C8E"/>
    <w:rsid w:val="000B2D37"/>
    <w:rsid w:val="000B2EF8"/>
    <w:rsid w:val="000B2FFB"/>
    <w:rsid w:val="000B3092"/>
    <w:rsid w:val="000B3234"/>
    <w:rsid w:val="000B32D4"/>
    <w:rsid w:val="000B38DA"/>
    <w:rsid w:val="000B3BAF"/>
    <w:rsid w:val="000B3C21"/>
    <w:rsid w:val="000B3F37"/>
    <w:rsid w:val="000B40E2"/>
    <w:rsid w:val="000B41F1"/>
    <w:rsid w:val="000B44DA"/>
    <w:rsid w:val="000B4925"/>
    <w:rsid w:val="000B49D7"/>
    <w:rsid w:val="000B53AF"/>
    <w:rsid w:val="000B546F"/>
    <w:rsid w:val="000B569D"/>
    <w:rsid w:val="000B5BE3"/>
    <w:rsid w:val="000B5E69"/>
    <w:rsid w:val="000B60B9"/>
    <w:rsid w:val="000B6344"/>
    <w:rsid w:val="000B65BE"/>
    <w:rsid w:val="000B6875"/>
    <w:rsid w:val="000B69AA"/>
    <w:rsid w:val="000B6BDF"/>
    <w:rsid w:val="000B71B6"/>
    <w:rsid w:val="000B7206"/>
    <w:rsid w:val="000B72F0"/>
    <w:rsid w:val="000B7387"/>
    <w:rsid w:val="000B74DA"/>
    <w:rsid w:val="000B7508"/>
    <w:rsid w:val="000B76BB"/>
    <w:rsid w:val="000B7A50"/>
    <w:rsid w:val="000B7D5E"/>
    <w:rsid w:val="000B7E48"/>
    <w:rsid w:val="000C07AC"/>
    <w:rsid w:val="000C07FC"/>
    <w:rsid w:val="000C130B"/>
    <w:rsid w:val="000C133A"/>
    <w:rsid w:val="000C13B1"/>
    <w:rsid w:val="000C143C"/>
    <w:rsid w:val="000C1540"/>
    <w:rsid w:val="000C1941"/>
    <w:rsid w:val="000C198D"/>
    <w:rsid w:val="000C1BD2"/>
    <w:rsid w:val="000C1DBD"/>
    <w:rsid w:val="000C1E02"/>
    <w:rsid w:val="000C1F69"/>
    <w:rsid w:val="000C231B"/>
    <w:rsid w:val="000C25F9"/>
    <w:rsid w:val="000C29F0"/>
    <w:rsid w:val="000C2DE1"/>
    <w:rsid w:val="000C2E95"/>
    <w:rsid w:val="000C393F"/>
    <w:rsid w:val="000C3987"/>
    <w:rsid w:val="000C3EB8"/>
    <w:rsid w:val="000C3F16"/>
    <w:rsid w:val="000C3F86"/>
    <w:rsid w:val="000C44B7"/>
    <w:rsid w:val="000C4A56"/>
    <w:rsid w:val="000C4C76"/>
    <w:rsid w:val="000C4F66"/>
    <w:rsid w:val="000C5155"/>
    <w:rsid w:val="000C550B"/>
    <w:rsid w:val="000C5759"/>
    <w:rsid w:val="000C59A5"/>
    <w:rsid w:val="000C5B11"/>
    <w:rsid w:val="000C5B46"/>
    <w:rsid w:val="000C5E7D"/>
    <w:rsid w:val="000C673C"/>
    <w:rsid w:val="000C69E2"/>
    <w:rsid w:val="000C69F8"/>
    <w:rsid w:val="000C6C96"/>
    <w:rsid w:val="000C71D9"/>
    <w:rsid w:val="000C7315"/>
    <w:rsid w:val="000C771D"/>
    <w:rsid w:val="000C7C3E"/>
    <w:rsid w:val="000D037E"/>
    <w:rsid w:val="000D063F"/>
    <w:rsid w:val="000D0A0F"/>
    <w:rsid w:val="000D0AB8"/>
    <w:rsid w:val="000D0BCC"/>
    <w:rsid w:val="000D0F9A"/>
    <w:rsid w:val="000D148D"/>
    <w:rsid w:val="000D14EB"/>
    <w:rsid w:val="000D1610"/>
    <w:rsid w:val="000D1737"/>
    <w:rsid w:val="000D17D7"/>
    <w:rsid w:val="000D199E"/>
    <w:rsid w:val="000D1C87"/>
    <w:rsid w:val="000D1E92"/>
    <w:rsid w:val="000D206C"/>
    <w:rsid w:val="000D23C1"/>
    <w:rsid w:val="000D23F0"/>
    <w:rsid w:val="000D2AE0"/>
    <w:rsid w:val="000D2BCB"/>
    <w:rsid w:val="000D2C6C"/>
    <w:rsid w:val="000D2EA5"/>
    <w:rsid w:val="000D31B6"/>
    <w:rsid w:val="000D35D4"/>
    <w:rsid w:val="000D362A"/>
    <w:rsid w:val="000D37FA"/>
    <w:rsid w:val="000D3A6C"/>
    <w:rsid w:val="000D3C0E"/>
    <w:rsid w:val="000D3D12"/>
    <w:rsid w:val="000D3DB3"/>
    <w:rsid w:val="000D41D0"/>
    <w:rsid w:val="000D4324"/>
    <w:rsid w:val="000D46EE"/>
    <w:rsid w:val="000D4ABD"/>
    <w:rsid w:val="000D4B29"/>
    <w:rsid w:val="000D4DE6"/>
    <w:rsid w:val="000D4DFF"/>
    <w:rsid w:val="000D50C1"/>
    <w:rsid w:val="000D5428"/>
    <w:rsid w:val="000D54C7"/>
    <w:rsid w:val="000D55EA"/>
    <w:rsid w:val="000D5711"/>
    <w:rsid w:val="000D59D6"/>
    <w:rsid w:val="000D5AB0"/>
    <w:rsid w:val="000D5AD1"/>
    <w:rsid w:val="000D5B77"/>
    <w:rsid w:val="000D5C0C"/>
    <w:rsid w:val="000D5C9C"/>
    <w:rsid w:val="000D5E4D"/>
    <w:rsid w:val="000D5F11"/>
    <w:rsid w:val="000D6128"/>
    <w:rsid w:val="000D697E"/>
    <w:rsid w:val="000D6B62"/>
    <w:rsid w:val="000D6E96"/>
    <w:rsid w:val="000D70EC"/>
    <w:rsid w:val="000D7268"/>
    <w:rsid w:val="000D729D"/>
    <w:rsid w:val="000D74AF"/>
    <w:rsid w:val="000D74D7"/>
    <w:rsid w:val="000D75CC"/>
    <w:rsid w:val="000D7783"/>
    <w:rsid w:val="000D79CA"/>
    <w:rsid w:val="000D7A1D"/>
    <w:rsid w:val="000D7AD2"/>
    <w:rsid w:val="000D7AD8"/>
    <w:rsid w:val="000D7C7C"/>
    <w:rsid w:val="000D7C84"/>
    <w:rsid w:val="000D7D3D"/>
    <w:rsid w:val="000D7D72"/>
    <w:rsid w:val="000D7E4D"/>
    <w:rsid w:val="000D7EF2"/>
    <w:rsid w:val="000E004E"/>
    <w:rsid w:val="000E011D"/>
    <w:rsid w:val="000E0300"/>
    <w:rsid w:val="000E04F1"/>
    <w:rsid w:val="000E0A57"/>
    <w:rsid w:val="000E0C8A"/>
    <w:rsid w:val="000E14B9"/>
    <w:rsid w:val="000E15FE"/>
    <w:rsid w:val="000E162E"/>
    <w:rsid w:val="000E17B5"/>
    <w:rsid w:val="000E182B"/>
    <w:rsid w:val="000E18F2"/>
    <w:rsid w:val="000E1C22"/>
    <w:rsid w:val="000E1E8E"/>
    <w:rsid w:val="000E2030"/>
    <w:rsid w:val="000E2303"/>
    <w:rsid w:val="000E24CC"/>
    <w:rsid w:val="000E279B"/>
    <w:rsid w:val="000E28D4"/>
    <w:rsid w:val="000E2AC1"/>
    <w:rsid w:val="000E2D8C"/>
    <w:rsid w:val="000E3075"/>
    <w:rsid w:val="000E3358"/>
    <w:rsid w:val="000E38ED"/>
    <w:rsid w:val="000E3B29"/>
    <w:rsid w:val="000E3F84"/>
    <w:rsid w:val="000E4212"/>
    <w:rsid w:val="000E426A"/>
    <w:rsid w:val="000E44FC"/>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7FD"/>
    <w:rsid w:val="000E69D4"/>
    <w:rsid w:val="000E6EB7"/>
    <w:rsid w:val="000E6F62"/>
    <w:rsid w:val="000E7535"/>
    <w:rsid w:val="000E7979"/>
    <w:rsid w:val="000E7ABD"/>
    <w:rsid w:val="000E7F51"/>
    <w:rsid w:val="000F00D8"/>
    <w:rsid w:val="000F00DA"/>
    <w:rsid w:val="000F02C2"/>
    <w:rsid w:val="000F036B"/>
    <w:rsid w:val="000F0424"/>
    <w:rsid w:val="000F04CE"/>
    <w:rsid w:val="000F0672"/>
    <w:rsid w:val="000F06D8"/>
    <w:rsid w:val="000F072F"/>
    <w:rsid w:val="000F095B"/>
    <w:rsid w:val="000F0FC7"/>
    <w:rsid w:val="000F106A"/>
    <w:rsid w:val="000F1287"/>
    <w:rsid w:val="000F13C4"/>
    <w:rsid w:val="000F13D7"/>
    <w:rsid w:val="000F17E4"/>
    <w:rsid w:val="000F1A6D"/>
    <w:rsid w:val="000F1B0F"/>
    <w:rsid w:val="000F1C85"/>
    <w:rsid w:val="000F1CF3"/>
    <w:rsid w:val="000F203A"/>
    <w:rsid w:val="000F20B3"/>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CC"/>
    <w:rsid w:val="000F4976"/>
    <w:rsid w:val="000F4A46"/>
    <w:rsid w:val="000F4CAF"/>
    <w:rsid w:val="000F4DD9"/>
    <w:rsid w:val="000F4F44"/>
    <w:rsid w:val="000F52FB"/>
    <w:rsid w:val="000F53CB"/>
    <w:rsid w:val="000F5474"/>
    <w:rsid w:val="000F5497"/>
    <w:rsid w:val="000F56C7"/>
    <w:rsid w:val="000F602F"/>
    <w:rsid w:val="000F61C4"/>
    <w:rsid w:val="000F628F"/>
    <w:rsid w:val="000F64E2"/>
    <w:rsid w:val="000F6646"/>
    <w:rsid w:val="000F6881"/>
    <w:rsid w:val="000F6A1D"/>
    <w:rsid w:val="000F6B41"/>
    <w:rsid w:val="000F6B4F"/>
    <w:rsid w:val="000F6C32"/>
    <w:rsid w:val="000F6DB3"/>
    <w:rsid w:val="000F6E58"/>
    <w:rsid w:val="000F6E94"/>
    <w:rsid w:val="000F72CF"/>
    <w:rsid w:val="000F736A"/>
    <w:rsid w:val="000F77C9"/>
    <w:rsid w:val="000F7FDF"/>
    <w:rsid w:val="00100010"/>
    <w:rsid w:val="00100097"/>
    <w:rsid w:val="001000E9"/>
    <w:rsid w:val="00100169"/>
    <w:rsid w:val="001001C4"/>
    <w:rsid w:val="0010044A"/>
    <w:rsid w:val="0010067A"/>
    <w:rsid w:val="00100880"/>
    <w:rsid w:val="00100C23"/>
    <w:rsid w:val="00100CA1"/>
    <w:rsid w:val="00101070"/>
    <w:rsid w:val="001012B3"/>
    <w:rsid w:val="00101349"/>
    <w:rsid w:val="00101489"/>
    <w:rsid w:val="00101513"/>
    <w:rsid w:val="00101561"/>
    <w:rsid w:val="00101A0E"/>
    <w:rsid w:val="00101ACE"/>
    <w:rsid w:val="00102147"/>
    <w:rsid w:val="001021B6"/>
    <w:rsid w:val="00102BFC"/>
    <w:rsid w:val="00102D2E"/>
    <w:rsid w:val="00103370"/>
    <w:rsid w:val="001033EF"/>
    <w:rsid w:val="0010341A"/>
    <w:rsid w:val="00103658"/>
    <w:rsid w:val="0010366C"/>
    <w:rsid w:val="001039E1"/>
    <w:rsid w:val="00103C6F"/>
    <w:rsid w:val="00104058"/>
    <w:rsid w:val="0010405D"/>
    <w:rsid w:val="00104228"/>
    <w:rsid w:val="001047E3"/>
    <w:rsid w:val="00104871"/>
    <w:rsid w:val="00104A80"/>
    <w:rsid w:val="00104C4C"/>
    <w:rsid w:val="001050B7"/>
    <w:rsid w:val="00105104"/>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27E"/>
    <w:rsid w:val="001074D1"/>
    <w:rsid w:val="0010758F"/>
    <w:rsid w:val="00107600"/>
    <w:rsid w:val="00107ECE"/>
    <w:rsid w:val="00110645"/>
    <w:rsid w:val="001107FE"/>
    <w:rsid w:val="00110B14"/>
    <w:rsid w:val="00110C5D"/>
    <w:rsid w:val="00110C92"/>
    <w:rsid w:val="00110FBF"/>
    <w:rsid w:val="00111169"/>
    <w:rsid w:val="00111255"/>
    <w:rsid w:val="001112E9"/>
    <w:rsid w:val="00111481"/>
    <w:rsid w:val="001114E4"/>
    <w:rsid w:val="0011156C"/>
    <w:rsid w:val="001115C0"/>
    <w:rsid w:val="001115F4"/>
    <w:rsid w:val="001117E7"/>
    <w:rsid w:val="001118AA"/>
    <w:rsid w:val="00111AD9"/>
    <w:rsid w:val="00111D19"/>
    <w:rsid w:val="00111D2C"/>
    <w:rsid w:val="00111D6F"/>
    <w:rsid w:val="00111DC6"/>
    <w:rsid w:val="00111E7C"/>
    <w:rsid w:val="0011234A"/>
    <w:rsid w:val="00112509"/>
    <w:rsid w:val="00112B35"/>
    <w:rsid w:val="00112B7D"/>
    <w:rsid w:val="00112B8F"/>
    <w:rsid w:val="00112D41"/>
    <w:rsid w:val="0011341A"/>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BC1"/>
    <w:rsid w:val="00116C09"/>
    <w:rsid w:val="00116C95"/>
    <w:rsid w:val="00116E41"/>
    <w:rsid w:val="00116EBA"/>
    <w:rsid w:val="00117116"/>
    <w:rsid w:val="001174C4"/>
    <w:rsid w:val="00117957"/>
    <w:rsid w:val="00117B90"/>
    <w:rsid w:val="00117DE8"/>
    <w:rsid w:val="0012022B"/>
    <w:rsid w:val="001203DB"/>
    <w:rsid w:val="0012079F"/>
    <w:rsid w:val="001207E4"/>
    <w:rsid w:val="001207F3"/>
    <w:rsid w:val="00120D2A"/>
    <w:rsid w:val="001214B3"/>
    <w:rsid w:val="00121897"/>
    <w:rsid w:val="00121AF7"/>
    <w:rsid w:val="00121B54"/>
    <w:rsid w:val="00121C10"/>
    <w:rsid w:val="00121D0E"/>
    <w:rsid w:val="00121E20"/>
    <w:rsid w:val="00121FDE"/>
    <w:rsid w:val="001221CB"/>
    <w:rsid w:val="00122581"/>
    <w:rsid w:val="00122842"/>
    <w:rsid w:val="00122AEE"/>
    <w:rsid w:val="00122E40"/>
    <w:rsid w:val="00122E97"/>
    <w:rsid w:val="00122EB3"/>
    <w:rsid w:val="00123236"/>
    <w:rsid w:val="0012343D"/>
    <w:rsid w:val="0012345C"/>
    <w:rsid w:val="001234FC"/>
    <w:rsid w:val="001235C4"/>
    <w:rsid w:val="0012363B"/>
    <w:rsid w:val="00123975"/>
    <w:rsid w:val="00123A55"/>
    <w:rsid w:val="00123DED"/>
    <w:rsid w:val="00124150"/>
    <w:rsid w:val="001241B0"/>
    <w:rsid w:val="001244A0"/>
    <w:rsid w:val="0012467D"/>
    <w:rsid w:val="001246EC"/>
    <w:rsid w:val="001247D1"/>
    <w:rsid w:val="00124802"/>
    <w:rsid w:val="0012485A"/>
    <w:rsid w:val="001249BA"/>
    <w:rsid w:val="001249C1"/>
    <w:rsid w:val="001249D7"/>
    <w:rsid w:val="00124B40"/>
    <w:rsid w:val="00124C33"/>
    <w:rsid w:val="00124DDD"/>
    <w:rsid w:val="00124E10"/>
    <w:rsid w:val="00124F72"/>
    <w:rsid w:val="00125078"/>
    <w:rsid w:val="0012507E"/>
    <w:rsid w:val="001252FE"/>
    <w:rsid w:val="00125548"/>
    <w:rsid w:val="001257E6"/>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2A6"/>
    <w:rsid w:val="00135307"/>
    <w:rsid w:val="00135829"/>
    <w:rsid w:val="001358A7"/>
    <w:rsid w:val="001358F4"/>
    <w:rsid w:val="0013612A"/>
    <w:rsid w:val="001362B9"/>
    <w:rsid w:val="00136998"/>
    <w:rsid w:val="00136AAD"/>
    <w:rsid w:val="00136BA1"/>
    <w:rsid w:val="00136C54"/>
    <w:rsid w:val="00136C84"/>
    <w:rsid w:val="00136DF8"/>
    <w:rsid w:val="00137167"/>
    <w:rsid w:val="00137280"/>
    <w:rsid w:val="00137288"/>
    <w:rsid w:val="001372D4"/>
    <w:rsid w:val="00137480"/>
    <w:rsid w:val="001376F7"/>
    <w:rsid w:val="001377C3"/>
    <w:rsid w:val="00137A97"/>
    <w:rsid w:val="00137FFD"/>
    <w:rsid w:val="0014006A"/>
    <w:rsid w:val="001401AE"/>
    <w:rsid w:val="00140608"/>
    <w:rsid w:val="0014073C"/>
    <w:rsid w:val="00140762"/>
    <w:rsid w:val="00140912"/>
    <w:rsid w:val="00140C92"/>
    <w:rsid w:val="00140DD4"/>
    <w:rsid w:val="00140E55"/>
    <w:rsid w:val="00140E5E"/>
    <w:rsid w:val="001410F1"/>
    <w:rsid w:val="0014118A"/>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8D4"/>
    <w:rsid w:val="00143932"/>
    <w:rsid w:val="00143E78"/>
    <w:rsid w:val="00143FFE"/>
    <w:rsid w:val="00144235"/>
    <w:rsid w:val="00144315"/>
    <w:rsid w:val="001444FD"/>
    <w:rsid w:val="001445AA"/>
    <w:rsid w:val="0014471E"/>
    <w:rsid w:val="0014491B"/>
    <w:rsid w:val="00144B3F"/>
    <w:rsid w:val="00144B48"/>
    <w:rsid w:val="00144B9A"/>
    <w:rsid w:val="00144C00"/>
    <w:rsid w:val="00144E04"/>
    <w:rsid w:val="001454C4"/>
    <w:rsid w:val="00145DB6"/>
    <w:rsid w:val="00145FE7"/>
    <w:rsid w:val="00146129"/>
    <w:rsid w:val="0014624C"/>
    <w:rsid w:val="00146296"/>
    <w:rsid w:val="00146377"/>
    <w:rsid w:val="00146448"/>
    <w:rsid w:val="0014652F"/>
    <w:rsid w:val="001466F4"/>
    <w:rsid w:val="00146992"/>
    <w:rsid w:val="00146BC8"/>
    <w:rsid w:val="00146C4F"/>
    <w:rsid w:val="00146EDA"/>
    <w:rsid w:val="00147123"/>
    <w:rsid w:val="001472C2"/>
    <w:rsid w:val="00147439"/>
    <w:rsid w:val="001477C4"/>
    <w:rsid w:val="00147B43"/>
    <w:rsid w:val="00147D65"/>
    <w:rsid w:val="00147D91"/>
    <w:rsid w:val="00147DE6"/>
    <w:rsid w:val="001508E1"/>
    <w:rsid w:val="00150B25"/>
    <w:rsid w:val="00150BAF"/>
    <w:rsid w:val="00150C26"/>
    <w:rsid w:val="00150CD5"/>
    <w:rsid w:val="00150EC3"/>
    <w:rsid w:val="00151096"/>
    <w:rsid w:val="001510B6"/>
    <w:rsid w:val="001510BE"/>
    <w:rsid w:val="001510ED"/>
    <w:rsid w:val="001511DF"/>
    <w:rsid w:val="0015130D"/>
    <w:rsid w:val="00151805"/>
    <w:rsid w:val="001518AA"/>
    <w:rsid w:val="00151DDE"/>
    <w:rsid w:val="00152066"/>
    <w:rsid w:val="001521B9"/>
    <w:rsid w:val="001526BC"/>
    <w:rsid w:val="001526CA"/>
    <w:rsid w:val="0015289B"/>
    <w:rsid w:val="0015294D"/>
    <w:rsid w:val="00152965"/>
    <w:rsid w:val="00152A3B"/>
    <w:rsid w:val="00153021"/>
    <w:rsid w:val="001531CD"/>
    <w:rsid w:val="001531FD"/>
    <w:rsid w:val="00153250"/>
    <w:rsid w:val="0015347E"/>
    <w:rsid w:val="001535CB"/>
    <w:rsid w:val="00153737"/>
    <w:rsid w:val="00153A48"/>
    <w:rsid w:val="00153A6B"/>
    <w:rsid w:val="00153EEF"/>
    <w:rsid w:val="00153F29"/>
    <w:rsid w:val="0015404F"/>
    <w:rsid w:val="001543DE"/>
    <w:rsid w:val="001544AB"/>
    <w:rsid w:val="001545F6"/>
    <w:rsid w:val="00154620"/>
    <w:rsid w:val="00154A24"/>
    <w:rsid w:val="00154B50"/>
    <w:rsid w:val="00154E96"/>
    <w:rsid w:val="00155525"/>
    <w:rsid w:val="00155ABC"/>
    <w:rsid w:val="00155F7A"/>
    <w:rsid w:val="00155FA8"/>
    <w:rsid w:val="001560BF"/>
    <w:rsid w:val="00156260"/>
    <w:rsid w:val="0015645A"/>
    <w:rsid w:val="00156501"/>
    <w:rsid w:val="0015674F"/>
    <w:rsid w:val="00157BDB"/>
    <w:rsid w:val="00157C18"/>
    <w:rsid w:val="00157F63"/>
    <w:rsid w:val="00157F9F"/>
    <w:rsid w:val="0016017A"/>
    <w:rsid w:val="0016019C"/>
    <w:rsid w:val="00160674"/>
    <w:rsid w:val="00160786"/>
    <w:rsid w:val="0016087B"/>
    <w:rsid w:val="00160B88"/>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4414"/>
    <w:rsid w:val="00164646"/>
    <w:rsid w:val="001647FA"/>
    <w:rsid w:val="00164827"/>
    <w:rsid w:val="0016493C"/>
    <w:rsid w:val="001649D4"/>
    <w:rsid w:val="00164AE9"/>
    <w:rsid w:val="00164C22"/>
    <w:rsid w:val="00164D59"/>
    <w:rsid w:val="00164E6C"/>
    <w:rsid w:val="00165137"/>
    <w:rsid w:val="001651F3"/>
    <w:rsid w:val="00165223"/>
    <w:rsid w:val="00165A70"/>
    <w:rsid w:val="00165AC2"/>
    <w:rsid w:val="0016634F"/>
    <w:rsid w:val="001669F9"/>
    <w:rsid w:val="00166E69"/>
    <w:rsid w:val="0016700E"/>
    <w:rsid w:val="0016711A"/>
    <w:rsid w:val="00167289"/>
    <w:rsid w:val="0016764C"/>
    <w:rsid w:val="00167709"/>
    <w:rsid w:val="00167713"/>
    <w:rsid w:val="001679C5"/>
    <w:rsid w:val="001701BA"/>
    <w:rsid w:val="00170397"/>
    <w:rsid w:val="00170678"/>
    <w:rsid w:val="001706E4"/>
    <w:rsid w:val="001708D0"/>
    <w:rsid w:val="00171730"/>
    <w:rsid w:val="00171832"/>
    <w:rsid w:val="001718B8"/>
    <w:rsid w:val="00171944"/>
    <w:rsid w:val="0017197C"/>
    <w:rsid w:val="00171B47"/>
    <w:rsid w:val="00171D7E"/>
    <w:rsid w:val="00171F14"/>
    <w:rsid w:val="0017226B"/>
    <w:rsid w:val="00172903"/>
    <w:rsid w:val="001729E1"/>
    <w:rsid w:val="00172B61"/>
    <w:rsid w:val="00172C20"/>
    <w:rsid w:val="00172D9C"/>
    <w:rsid w:val="00172EAA"/>
    <w:rsid w:val="001730E4"/>
    <w:rsid w:val="00173598"/>
    <w:rsid w:val="00173869"/>
    <w:rsid w:val="001738A5"/>
    <w:rsid w:val="00173A00"/>
    <w:rsid w:val="00173B59"/>
    <w:rsid w:val="00173DB6"/>
    <w:rsid w:val="00174211"/>
    <w:rsid w:val="0017440C"/>
    <w:rsid w:val="00174BE4"/>
    <w:rsid w:val="00174C26"/>
    <w:rsid w:val="00174DDB"/>
    <w:rsid w:val="00174EAE"/>
    <w:rsid w:val="00174F1A"/>
    <w:rsid w:val="00174F2F"/>
    <w:rsid w:val="00175152"/>
    <w:rsid w:val="001752EC"/>
    <w:rsid w:val="0017551C"/>
    <w:rsid w:val="001755FC"/>
    <w:rsid w:val="0017591F"/>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C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20B2"/>
    <w:rsid w:val="001820B5"/>
    <w:rsid w:val="001821E9"/>
    <w:rsid w:val="0018230D"/>
    <w:rsid w:val="00182608"/>
    <w:rsid w:val="00182A9A"/>
    <w:rsid w:val="00182E75"/>
    <w:rsid w:val="00182E85"/>
    <w:rsid w:val="001836DF"/>
    <w:rsid w:val="00183911"/>
    <w:rsid w:val="00183929"/>
    <w:rsid w:val="00183CC6"/>
    <w:rsid w:val="00183D8A"/>
    <w:rsid w:val="00183E8B"/>
    <w:rsid w:val="00183F11"/>
    <w:rsid w:val="001840F5"/>
    <w:rsid w:val="00184DAB"/>
    <w:rsid w:val="00184F51"/>
    <w:rsid w:val="00185257"/>
    <w:rsid w:val="00185A5F"/>
    <w:rsid w:val="00185B19"/>
    <w:rsid w:val="00185BD2"/>
    <w:rsid w:val="00185E59"/>
    <w:rsid w:val="00185E97"/>
    <w:rsid w:val="00185F10"/>
    <w:rsid w:val="00186395"/>
    <w:rsid w:val="0018691B"/>
    <w:rsid w:val="00186B4D"/>
    <w:rsid w:val="0018767B"/>
    <w:rsid w:val="00187AB6"/>
    <w:rsid w:val="00187B37"/>
    <w:rsid w:val="00187CA4"/>
    <w:rsid w:val="00187EE2"/>
    <w:rsid w:val="00187EF8"/>
    <w:rsid w:val="00190014"/>
    <w:rsid w:val="00190307"/>
    <w:rsid w:val="00190731"/>
    <w:rsid w:val="00190927"/>
    <w:rsid w:val="00190A16"/>
    <w:rsid w:val="00190BD5"/>
    <w:rsid w:val="00190D5E"/>
    <w:rsid w:val="00191214"/>
    <w:rsid w:val="00191236"/>
    <w:rsid w:val="001912D1"/>
    <w:rsid w:val="00191727"/>
    <w:rsid w:val="00191823"/>
    <w:rsid w:val="00191830"/>
    <w:rsid w:val="00191995"/>
    <w:rsid w:val="00191A2B"/>
    <w:rsid w:val="00191B53"/>
    <w:rsid w:val="00191EBF"/>
    <w:rsid w:val="00191EF7"/>
    <w:rsid w:val="00192072"/>
    <w:rsid w:val="00192411"/>
    <w:rsid w:val="001925E5"/>
    <w:rsid w:val="001929A3"/>
    <w:rsid w:val="00192D98"/>
    <w:rsid w:val="001930A3"/>
    <w:rsid w:val="001932E4"/>
    <w:rsid w:val="00193484"/>
    <w:rsid w:val="00193779"/>
    <w:rsid w:val="001937EE"/>
    <w:rsid w:val="00193987"/>
    <w:rsid w:val="00194465"/>
    <w:rsid w:val="00194620"/>
    <w:rsid w:val="001947FA"/>
    <w:rsid w:val="00194A69"/>
    <w:rsid w:val="00194C23"/>
    <w:rsid w:val="00194FBD"/>
    <w:rsid w:val="0019573B"/>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A1F"/>
    <w:rsid w:val="001A0043"/>
    <w:rsid w:val="001A02EF"/>
    <w:rsid w:val="001A0303"/>
    <w:rsid w:val="001A032E"/>
    <w:rsid w:val="001A0421"/>
    <w:rsid w:val="001A0620"/>
    <w:rsid w:val="001A067A"/>
    <w:rsid w:val="001A0727"/>
    <w:rsid w:val="001A0A90"/>
    <w:rsid w:val="001A0D93"/>
    <w:rsid w:val="001A10FA"/>
    <w:rsid w:val="001A11B9"/>
    <w:rsid w:val="001A212D"/>
    <w:rsid w:val="001A258A"/>
    <w:rsid w:val="001A2939"/>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8E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5F"/>
    <w:rsid w:val="001B3A2F"/>
    <w:rsid w:val="001B3B78"/>
    <w:rsid w:val="001B3C00"/>
    <w:rsid w:val="001B3C51"/>
    <w:rsid w:val="001B3FD9"/>
    <w:rsid w:val="001B41EB"/>
    <w:rsid w:val="001B422E"/>
    <w:rsid w:val="001B46A1"/>
    <w:rsid w:val="001B4E05"/>
    <w:rsid w:val="001B4E11"/>
    <w:rsid w:val="001B502F"/>
    <w:rsid w:val="001B5332"/>
    <w:rsid w:val="001B53B3"/>
    <w:rsid w:val="001B54E9"/>
    <w:rsid w:val="001B58A8"/>
    <w:rsid w:val="001B5947"/>
    <w:rsid w:val="001B5F67"/>
    <w:rsid w:val="001B5FBD"/>
    <w:rsid w:val="001B62E0"/>
    <w:rsid w:val="001B6488"/>
    <w:rsid w:val="001B6612"/>
    <w:rsid w:val="001B6619"/>
    <w:rsid w:val="001B676A"/>
    <w:rsid w:val="001B6C77"/>
    <w:rsid w:val="001B70CF"/>
    <w:rsid w:val="001B716B"/>
    <w:rsid w:val="001B72B8"/>
    <w:rsid w:val="001B73B5"/>
    <w:rsid w:val="001B748B"/>
    <w:rsid w:val="001B7E0C"/>
    <w:rsid w:val="001B7E89"/>
    <w:rsid w:val="001C002C"/>
    <w:rsid w:val="001C0082"/>
    <w:rsid w:val="001C0085"/>
    <w:rsid w:val="001C030C"/>
    <w:rsid w:val="001C04E1"/>
    <w:rsid w:val="001C063F"/>
    <w:rsid w:val="001C078D"/>
    <w:rsid w:val="001C0883"/>
    <w:rsid w:val="001C0CD1"/>
    <w:rsid w:val="001C16A9"/>
    <w:rsid w:val="001C1DEC"/>
    <w:rsid w:val="001C1E53"/>
    <w:rsid w:val="001C204C"/>
    <w:rsid w:val="001C211D"/>
    <w:rsid w:val="001C22AE"/>
    <w:rsid w:val="001C22FD"/>
    <w:rsid w:val="001C2305"/>
    <w:rsid w:val="001C2982"/>
    <w:rsid w:val="001C2989"/>
    <w:rsid w:val="001C2D84"/>
    <w:rsid w:val="001C2E55"/>
    <w:rsid w:val="001C2E60"/>
    <w:rsid w:val="001C3004"/>
    <w:rsid w:val="001C3474"/>
    <w:rsid w:val="001C3DC6"/>
    <w:rsid w:val="001C3E2C"/>
    <w:rsid w:val="001C3EAD"/>
    <w:rsid w:val="001C3EAE"/>
    <w:rsid w:val="001C3EFD"/>
    <w:rsid w:val="001C4F5F"/>
    <w:rsid w:val="001C518A"/>
    <w:rsid w:val="001C54CC"/>
    <w:rsid w:val="001C5594"/>
    <w:rsid w:val="001C589B"/>
    <w:rsid w:val="001C58A6"/>
    <w:rsid w:val="001C5F88"/>
    <w:rsid w:val="001C619C"/>
    <w:rsid w:val="001C6AA5"/>
    <w:rsid w:val="001C70EF"/>
    <w:rsid w:val="001C7185"/>
    <w:rsid w:val="001C7AB6"/>
    <w:rsid w:val="001C7B91"/>
    <w:rsid w:val="001C7CDE"/>
    <w:rsid w:val="001C7F47"/>
    <w:rsid w:val="001D006C"/>
    <w:rsid w:val="001D0578"/>
    <w:rsid w:val="001D0593"/>
    <w:rsid w:val="001D068E"/>
    <w:rsid w:val="001D06C4"/>
    <w:rsid w:val="001D0ABC"/>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315"/>
    <w:rsid w:val="001D43C0"/>
    <w:rsid w:val="001D452A"/>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E61"/>
    <w:rsid w:val="001D6F30"/>
    <w:rsid w:val="001D7260"/>
    <w:rsid w:val="001D736E"/>
    <w:rsid w:val="001D7816"/>
    <w:rsid w:val="001D7B96"/>
    <w:rsid w:val="001D7EFB"/>
    <w:rsid w:val="001D7FE2"/>
    <w:rsid w:val="001E0470"/>
    <w:rsid w:val="001E09F4"/>
    <w:rsid w:val="001E0A73"/>
    <w:rsid w:val="001E111F"/>
    <w:rsid w:val="001E1284"/>
    <w:rsid w:val="001E13E0"/>
    <w:rsid w:val="001E1524"/>
    <w:rsid w:val="001E1837"/>
    <w:rsid w:val="001E1D3C"/>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9A"/>
    <w:rsid w:val="001E50CB"/>
    <w:rsid w:val="001E5334"/>
    <w:rsid w:val="001E55C9"/>
    <w:rsid w:val="001E5641"/>
    <w:rsid w:val="001E5669"/>
    <w:rsid w:val="001E58C4"/>
    <w:rsid w:val="001E5BB2"/>
    <w:rsid w:val="001E5D1F"/>
    <w:rsid w:val="001E6419"/>
    <w:rsid w:val="001E6446"/>
    <w:rsid w:val="001E683C"/>
    <w:rsid w:val="001E684F"/>
    <w:rsid w:val="001E69EA"/>
    <w:rsid w:val="001E6C1B"/>
    <w:rsid w:val="001E6DE6"/>
    <w:rsid w:val="001E6F14"/>
    <w:rsid w:val="001E719A"/>
    <w:rsid w:val="001E750C"/>
    <w:rsid w:val="001E75FF"/>
    <w:rsid w:val="001E7632"/>
    <w:rsid w:val="001E7922"/>
    <w:rsid w:val="001E7AFE"/>
    <w:rsid w:val="001F008C"/>
    <w:rsid w:val="001F0505"/>
    <w:rsid w:val="001F0546"/>
    <w:rsid w:val="001F0BE2"/>
    <w:rsid w:val="001F0DDF"/>
    <w:rsid w:val="001F134F"/>
    <w:rsid w:val="001F135C"/>
    <w:rsid w:val="001F16FD"/>
    <w:rsid w:val="001F1B1E"/>
    <w:rsid w:val="001F1DFA"/>
    <w:rsid w:val="001F22A9"/>
    <w:rsid w:val="001F2356"/>
    <w:rsid w:val="001F242B"/>
    <w:rsid w:val="001F2536"/>
    <w:rsid w:val="001F26BB"/>
    <w:rsid w:val="001F26E9"/>
    <w:rsid w:val="001F28C0"/>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AF6"/>
    <w:rsid w:val="001F5C2E"/>
    <w:rsid w:val="001F5C95"/>
    <w:rsid w:val="001F5C9E"/>
    <w:rsid w:val="001F5E73"/>
    <w:rsid w:val="001F5ED8"/>
    <w:rsid w:val="001F5F10"/>
    <w:rsid w:val="001F6192"/>
    <w:rsid w:val="001F619C"/>
    <w:rsid w:val="001F623C"/>
    <w:rsid w:val="001F6408"/>
    <w:rsid w:val="001F644E"/>
    <w:rsid w:val="001F697C"/>
    <w:rsid w:val="001F6E45"/>
    <w:rsid w:val="001F6E4A"/>
    <w:rsid w:val="001F6EAE"/>
    <w:rsid w:val="001F6EFB"/>
    <w:rsid w:val="001F7259"/>
    <w:rsid w:val="001F7317"/>
    <w:rsid w:val="001F76DF"/>
    <w:rsid w:val="001F798D"/>
    <w:rsid w:val="001F7DB3"/>
    <w:rsid w:val="001F7DD6"/>
    <w:rsid w:val="001F7FCF"/>
    <w:rsid w:val="0020001D"/>
    <w:rsid w:val="002000F2"/>
    <w:rsid w:val="002000FC"/>
    <w:rsid w:val="0020020C"/>
    <w:rsid w:val="002003A1"/>
    <w:rsid w:val="00200A92"/>
    <w:rsid w:val="00200BF9"/>
    <w:rsid w:val="00200EC5"/>
    <w:rsid w:val="00200F6F"/>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521"/>
    <w:rsid w:val="0020659D"/>
    <w:rsid w:val="0020667F"/>
    <w:rsid w:val="0020674D"/>
    <w:rsid w:val="00206799"/>
    <w:rsid w:val="00206CA6"/>
    <w:rsid w:val="00206DA3"/>
    <w:rsid w:val="00206E5A"/>
    <w:rsid w:val="002071DD"/>
    <w:rsid w:val="00207430"/>
    <w:rsid w:val="00207603"/>
    <w:rsid w:val="00207613"/>
    <w:rsid w:val="002077C8"/>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60A"/>
    <w:rsid w:val="002118F5"/>
    <w:rsid w:val="0021198B"/>
    <w:rsid w:val="00211D31"/>
    <w:rsid w:val="00211DD9"/>
    <w:rsid w:val="002120C7"/>
    <w:rsid w:val="002125B4"/>
    <w:rsid w:val="00212816"/>
    <w:rsid w:val="00212A13"/>
    <w:rsid w:val="00212A82"/>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61B"/>
    <w:rsid w:val="0021586D"/>
    <w:rsid w:val="00215CF0"/>
    <w:rsid w:val="00215DED"/>
    <w:rsid w:val="0021619F"/>
    <w:rsid w:val="002162EA"/>
    <w:rsid w:val="00216363"/>
    <w:rsid w:val="002165F9"/>
    <w:rsid w:val="00216685"/>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A0"/>
    <w:rsid w:val="00222100"/>
    <w:rsid w:val="002222A4"/>
    <w:rsid w:val="0022230B"/>
    <w:rsid w:val="00222A32"/>
    <w:rsid w:val="002232C5"/>
    <w:rsid w:val="00223328"/>
    <w:rsid w:val="0022337A"/>
    <w:rsid w:val="00223833"/>
    <w:rsid w:val="002238E9"/>
    <w:rsid w:val="00223ACD"/>
    <w:rsid w:val="00223ADC"/>
    <w:rsid w:val="00223AFF"/>
    <w:rsid w:val="00223CE8"/>
    <w:rsid w:val="00223F34"/>
    <w:rsid w:val="002241C9"/>
    <w:rsid w:val="00224225"/>
    <w:rsid w:val="0022474D"/>
    <w:rsid w:val="00224A9B"/>
    <w:rsid w:val="00224C25"/>
    <w:rsid w:val="00224E88"/>
    <w:rsid w:val="00225398"/>
    <w:rsid w:val="0022565C"/>
    <w:rsid w:val="00225FAF"/>
    <w:rsid w:val="0022657F"/>
    <w:rsid w:val="00226920"/>
    <w:rsid w:val="002269A7"/>
    <w:rsid w:val="00226BD3"/>
    <w:rsid w:val="00226BD9"/>
    <w:rsid w:val="00226F21"/>
    <w:rsid w:val="00226F9B"/>
    <w:rsid w:val="002271CF"/>
    <w:rsid w:val="0022735A"/>
    <w:rsid w:val="002275A8"/>
    <w:rsid w:val="00227873"/>
    <w:rsid w:val="002279D2"/>
    <w:rsid w:val="00227A3E"/>
    <w:rsid w:val="00227F9E"/>
    <w:rsid w:val="00230040"/>
    <w:rsid w:val="002300E1"/>
    <w:rsid w:val="0023037E"/>
    <w:rsid w:val="0023040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529"/>
    <w:rsid w:val="00232B66"/>
    <w:rsid w:val="00232BC7"/>
    <w:rsid w:val="00232D8A"/>
    <w:rsid w:val="00232E9D"/>
    <w:rsid w:val="00232EC2"/>
    <w:rsid w:val="00232ED9"/>
    <w:rsid w:val="00233600"/>
    <w:rsid w:val="002336F1"/>
    <w:rsid w:val="0023385C"/>
    <w:rsid w:val="0023386C"/>
    <w:rsid w:val="0023387F"/>
    <w:rsid w:val="00233A1B"/>
    <w:rsid w:val="00233B04"/>
    <w:rsid w:val="00233C23"/>
    <w:rsid w:val="00233D06"/>
    <w:rsid w:val="00234035"/>
    <w:rsid w:val="002340BE"/>
    <w:rsid w:val="002344C8"/>
    <w:rsid w:val="002349C5"/>
    <w:rsid w:val="00234FC8"/>
    <w:rsid w:val="00235581"/>
    <w:rsid w:val="00235698"/>
    <w:rsid w:val="00235724"/>
    <w:rsid w:val="002358E4"/>
    <w:rsid w:val="002358F2"/>
    <w:rsid w:val="0023598D"/>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21F2"/>
    <w:rsid w:val="0024224E"/>
    <w:rsid w:val="0024235C"/>
    <w:rsid w:val="0024244F"/>
    <w:rsid w:val="00242B2A"/>
    <w:rsid w:val="00242CAE"/>
    <w:rsid w:val="00243ACD"/>
    <w:rsid w:val="00243DCC"/>
    <w:rsid w:val="00243EFF"/>
    <w:rsid w:val="002441E5"/>
    <w:rsid w:val="002443C2"/>
    <w:rsid w:val="002444E3"/>
    <w:rsid w:val="00244606"/>
    <w:rsid w:val="00244924"/>
    <w:rsid w:val="00244B52"/>
    <w:rsid w:val="0024549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5043D"/>
    <w:rsid w:val="00250D9C"/>
    <w:rsid w:val="00251117"/>
    <w:rsid w:val="002512A9"/>
    <w:rsid w:val="0025161D"/>
    <w:rsid w:val="0025169E"/>
    <w:rsid w:val="002518F8"/>
    <w:rsid w:val="00251929"/>
    <w:rsid w:val="00251F5E"/>
    <w:rsid w:val="00251F94"/>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087"/>
    <w:rsid w:val="0025434B"/>
    <w:rsid w:val="0025435D"/>
    <w:rsid w:val="002545EA"/>
    <w:rsid w:val="00254616"/>
    <w:rsid w:val="00254BF6"/>
    <w:rsid w:val="00254C00"/>
    <w:rsid w:val="00254CC7"/>
    <w:rsid w:val="0025517C"/>
    <w:rsid w:val="0025524B"/>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75E"/>
    <w:rsid w:val="00260C8B"/>
    <w:rsid w:val="00260FAD"/>
    <w:rsid w:val="002612A1"/>
    <w:rsid w:val="002615F1"/>
    <w:rsid w:val="00261625"/>
    <w:rsid w:val="0026179E"/>
    <w:rsid w:val="00261A62"/>
    <w:rsid w:val="00261D05"/>
    <w:rsid w:val="00261DE7"/>
    <w:rsid w:val="002621FF"/>
    <w:rsid w:val="002623AC"/>
    <w:rsid w:val="00262480"/>
    <w:rsid w:val="00262793"/>
    <w:rsid w:val="0026279C"/>
    <w:rsid w:val="00262864"/>
    <w:rsid w:val="00262979"/>
    <w:rsid w:val="00262CEB"/>
    <w:rsid w:val="00262E69"/>
    <w:rsid w:val="00262EC5"/>
    <w:rsid w:val="00262F01"/>
    <w:rsid w:val="00263038"/>
    <w:rsid w:val="00263373"/>
    <w:rsid w:val="002634D2"/>
    <w:rsid w:val="0026379A"/>
    <w:rsid w:val="00263A0B"/>
    <w:rsid w:val="00263B02"/>
    <w:rsid w:val="00263CED"/>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B35"/>
    <w:rsid w:val="00267BF8"/>
    <w:rsid w:val="00267CFE"/>
    <w:rsid w:val="00267EF5"/>
    <w:rsid w:val="00267F60"/>
    <w:rsid w:val="00270621"/>
    <w:rsid w:val="00270C2C"/>
    <w:rsid w:val="00270C63"/>
    <w:rsid w:val="00270C98"/>
    <w:rsid w:val="00270D2B"/>
    <w:rsid w:val="00270E57"/>
    <w:rsid w:val="00270F4A"/>
    <w:rsid w:val="00271055"/>
    <w:rsid w:val="00271736"/>
    <w:rsid w:val="00271738"/>
    <w:rsid w:val="00271876"/>
    <w:rsid w:val="0027193C"/>
    <w:rsid w:val="00271B1E"/>
    <w:rsid w:val="00271EEF"/>
    <w:rsid w:val="00272124"/>
    <w:rsid w:val="002721DD"/>
    <w:rsid w:val="00272271"/>
    <w:rsid w:val="0027242C"/>
    <w:rsid w:val="00272474"/>
    <w:rsid w:val="002726EE"/>
    <w:rsid w:val="002729EA"/>
    <w:rsid w:val="00272C29"/>
    <w:rsid w:val="00272D06"/>
    <w:rsid w:val="00272FEB"/>
    <w:rsid w:val="00272FF7"/>
    <w:rsid w:val="0027309D"/>
    <w:rsid w:val="00273100"/>
    <w:rsid w:val="0027318B"/>
    <w:rsid w:val="0027324F"/>
    <w:rsid w:val="002732F9"/>
    <w:rsid w:val="002738C9"/>
    <w:rsid w:val="00273B2D"/>
    <w:rsid w:val="00273CC9"/>
    <w:rsid w:val="00273CFB"/>
    <w:rsid w:val="00273D2B"/>
    <w:rsid w:val="00274125"/>
    <w:rsid w:val="0027450C"/>
    <w:rsid w:val="002748C6"/>
    <w:rsid w:val="00274BED"/>
    <w:rsid w:val="00274CC9"/>
    <w:rsid w:val="00274D08"/>
    <w:rsid w:val="00274E8C"/>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D7D"/>
    <w:rsid w:val="00277E66"/>
    <w:rsid w:val="002801E2"/>
    <w:rsid w:val="00280268"/>
    <w:rsid w:val="0028052D"/>
    <w:rsid w:val="00280684"/>
    <w:rsid w:val="0028073A"/>
    <w:rsid w:val="00280851"/>
    <w:rsid w:val="00280960"/>
    <w:rsid w:val="002817B4"/>
    <w:rsid w:val="002817FA"/>
    <w:rsid w:val="00281F63"/>
    <w:rsid w:val="00282276"/>
    <w:rsid w:val="00282369"/>
    <w:rsid w:val="002825CE"/>
    <w:rsid w:val="002826D0"/>
    <w:rsid w:val="002829E8"/>
    <w:rsid w:val="00282F08"/>
    <w:rsid w:val="00283181"/>
    <w:rsid w:val="00283560"/>
    <w:rsid w:val="002835A5"/>
    <w:rsid w:val="002835BD"/>
    <w:rsid w:val="002836DC"/>
    <w:rsid w:val="00283B90"/>
    <w:rsid w:val="00283D6B"/>
    <w:rsid w:val="00283E56"/>
    <w:rsid w:val="00283FA2"/>
    <w:rsid w:val="0028413D"/>
    <w:rsid w:val="00284B72"/>
    <w:rsid w:val="00284DBD"/>
    <w:rsid w:val="00284E7F"/>
    <w:rsid w:val="002851AA"/>
    <w:rsid w:val="0028527A"/>
    <w:rsid w:val="00285520"/>
    <w:rsid w:val="0028558E"/>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AE7"/>
    <w:rsid w:val="00287C28"/>
    <w:rsid w:val="00287F94"/>
    <w:rsid w:val="00290254"/>
    <w:rsid w:val="00290C29"/>
    <w:rsid w:val="00290C48"/>
    <w:rsid w:val="0029178F"/>
    <w:rsid w:val="0029186A"/>
    <w:rsid w:val="00291B01"/>
    <w:rsid w:val="002922B3"/>
    <w:rsid w:val="00292B70"/>
    <w:rsid w:val="00292BFE"/>
    <w:rsid w:val="00292CBD"/>
    <w:rsid w:val="00292DD7"/>
    <w:rsid w:val="00292F2F"/>
    <w:rsid w:val="00293504"/>
    <w:rsid w:val="00293559"/>
    <w:rsid w:val="002936B6"/>
    <w:rsid w:val="00293EF0"/>
    <w:rsid w:val="002941F4"/>
    <w:rsid w:val="00294359"/>
    <w:rsid w:val="002943A4"/>
    <w:rsid w:val="00294488"/>
    <w:rsid w:val="002944CA"/>
    <w:rsid w:val="00294722"/>
    <w:rsid w:val="0029491A"/>
    <w:rsid w:val="00294AB1"/>
    <w:rsid w:val="00294D1B"/>
    <w:rsid w:val="00294FB4"/>
    <w:rsid w:val="002950BD"/>
    <w:rsid w:val="0029512F"/>
    <w:rsid w:val="002951A7"/>
    <w:rsid w:val="00295226"/>
    <w:rsid w:val="0029548C"/>
    <w:rsid w:val="00295539"/>
    <w:rsid w:val="0029556D"/>
    <w:rsid w:val="0029588F"/>
    <w:rsid w:val="002958DF"/>
    <w:rsid w:val="00295CF7"/>
    <w:rsid w:val="00295D0C"/>
    <w:rsid w:val="00295F1C"/>
    <w:rsid w:val="002960BD"/>
    <w:rsid w:val="0029636B"/>
    <w:rsid w:val="002963EC"/>
    <w:rsid w:val="00296468"/>
    <w:rsid w:val="0029659D"/>
    <w:rsid w:val="002965C5"/>
    <w:rsid w:val="00296635"/>
    <w:rsid w:val="0029665B"/>
    <w:rsid w:val="00296CE0"/>
    <w:rsid w:val="00296FD8"/>
    <w:rsid w:val="002971CA"/>
    <w:rsid w:val="0029743A"/>
    <w:rsid w:val="00297499"/>
    <w:rsid w:val="002974AA"/>
    <w:rsid w:val="002976A3"/>
    <w:rsid w:val="00297F46"/>
    <w:rsid w:val="002A0581"/>
    <w:rsid w:val="002A05EF"/>
    <w:rsid w:val="002A0724"/>
    <w:rsid w:val="002A0881"/>
    <w:rsid w:val="002A0B8D"/>
    <w:rsid w:val="002A1737"/>
    <w:rsid w:val="002A18DC"/>
    <w:rsid w:val="002A1A57"/>
    <w:rsid w:val="002A1DA1"/>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F2"/>
    <w:rsid w:val="002A3E68"/>
    <w:rsid w:val="002A4102"/>
    <w:rsid w:val="002A4577"/>
    <w:rsid w:val="002A4788"/>
    <w:rsid w:val="002A4918"/>
    <w:rsid w:val="002A4E20"/>
    <w:rsid w:val="002A4EFE"/>
    <w:rsid w:val="002A5007"/>
    <w:rsid w:val="002A510F"/>
    <w:rsid w:val="002A523D"/>
    <w:rsid w:val="002A5252"/>
    <w:rsid w:val="002A5343"/>
    <w:rsid w:val="002A5488"/>
    <w:rsid w:val="002A54CC"/>
    <w:rsid w:val="002A5915"/>
    <w:rsid w:val="002A596B"/>
    <w:rsid w:val="002A5F1E"/>
    <w:rsid w:val="002A5FC1"/>
    <w:rsid w:val="002A6046"/>
    <w:rsid w:val="002A60B6"/>
    <w:rsid w:val="002A68A1"/>
    <w:rsid w:val="002A68D9"/>
    <w:rsid w:val="002A732C"/>
    <w:rsid w:val="002A7635"/>
    <w:rsid w:val="002A7A6A"/>
    <w:rsid w:val="002A7AB4"/>
    <w:rsid w:val="002A7B72"/>
    <w:rsid w:val="002A7D0F"/>
    <w:rsid w:val="002B00F3"/>
    <w:rsid w:val="002B0740"/>
    <w:rsid w:val="002B07BF"/>
    <w:rsid w:val="002B0805"/>
    <w:rsid w:val="002B0C99"/>
    <w:rsid w:val="002B0EDA"/>
    <w:rsid w:val="002B10F9"/>
    <w:rsid w:val="002B112E"/>
    <w:rsid w:val="002B138C"/>
    <w:rsid w:val="002B151A"/>
    <w:rsid w:val="002B16E5"/>
    <w:rsid w:val="002B1877"/>
    <w:rsid w:val="002B1F1B"/>
    <w:rsid w:val="002B21D6"/>
    <w:rsid w:val="002B2522"/>
    <w:rsid w:val="002B252F"/>
    <w:rsid w:val="002B2589"/>
    <w:rsid w:val="002B27D5"/>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C39"/>
    <w:rsid w:val="002B4C79"/>
    <w:rsid w:val="002B50C7"/>
    <w:rsid w:val="002B5193"/>
    <w:rsid w:val="002B5370"/>
    <w:rsid w:val="002B5499"/>
    <w:rsid w:val="002B5514"/>
    <w:rsid w:val="002B5976"/>
    <w:rsid w:val="002B5D35"/>
    <w:rsid w:val="002B6397"/>
    <w:rsid w:val="002B6436"/>
    <w:rsid w:val="002B64FE"/>
    <w:rsid w:val="002B651D"/>
    <w:rsid w:val="002B6568"/>
    <w:rsid w:val="002B663A"/>
    <w:rsid w:val="002B67F0"/>
    <w:rsid w:val="002B6890"/>
    <w:rsid w:val="002B694E"/>
    <w:rsid w:val="002B71EC"/>
    <w:rsid w:val="002B76FF"/>
    <w:rsid w:val="002C020D"/>
    <w:rsid w:val="002C04C2"/>
    <w:rsid w:val="002C050B"/>
    <w:rsid w:val="002C07A6"/>
    <w:rsid w:val="002C0818"/>
    <w:rsid w:val="002C0DD0"/>
    <w:rsid w:val="002C0E0A"/>
    <w:rsid w:val="002C0E93"/>
    <w:rsid w:val="002C127B"/>
    <w:rsid w:val="002C19C0"/>
    <w:rsid w:val="002C1A60"/>
    <w:rsid w:val="002C1C49"/>
    <w:rsid w:val="002C1DF1"/>
    <w:rsid w:val="002C1FE0"/>
    <w:rsid w:val="002C203A"/>
    <w:rsid w:val="002C2326"/>
    <w:rsid w:val="002C235D"/>
    <w:rsid w:val="002C27F3"/>
    <w:rsid w:val="002C2B7F"/>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FAC"/>
    <w:rsid w:val="002C53D9"/>
    <w:rsid w:val="002C53F6"/>
    <w:rsid w:val="002C5533"/>
    <w:rsid w:val="002C5620"/>
    <w:rsid w:val="002C5A6B"/>
    <w:rsid w:val="002C5DAF"/>
    <w:rsid w:val="002C61E0"/>
    <w:rsid w:val="002C6BD0"/>
    <w:rsid w:val="002C782F"/>
    <w:rsid w:val="002C7A8E"/>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703"/>
    <w:rsid w:val="002D2B4E"/>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45A"/>
    <w:rsid w:val="002D772F"/>
    <w:rsid w:val="002D7F68"/>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CB8"/>
    <w:rsid w:val="002E2D5C"/>
    <w:rsid w:val="002E2F0D"/>
    <w:rsid w:val="002E306D"/>
    <w:rsid w:val="002E35B4"/>
    <w:rsid w:val="002E3624"/>
    <w:rsid w:val="002E3653"/>
    <w:rsid w:val="002E36AE"/>
    <w:rsid w:val="002E37F7"/>
    <w:rsid w:val="002E38B7"/>
    <w:rsid w:val="002E419A"/>
    <w:rsid w:val="002E4236"/>
    <w:rsid w:val="002E43BA"/>
    <w:rsid w:val="002E44C8"/>
    <w:rsid w:val="002E461F"/>
    <w:rsid w:val="002E47C3"/>
    <w:rsid w:val="002E4B91"/>
    <w:rsid w:val="002E4DC0"/>
    <w:rsid w:val="002E4E7D"/>
    <w:rsid w:val="002E5290"/>
    <w:rsid w:val="002E52CF"/>
    <w:rsid w:val="002E530F"/>
    <w:rsid w:val="002E53CC"/>
    <w:rsid w:val="002E553A"/>
    <w:rsid w:val="002E58E1"/>
    <w:rsid w:val="002E5BDD"/>
    <w:rsid w:val="002E5C56"/>
    <w:rsid w:val="002E5D0D"/>
    <w:rsid w:val="002E5D1E"/>
    <w:rsid w:val="002E631E"/>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39B"/>
    <w:rsid w:val="002F1752"/>
    <w:rsid w:val="002F1B45"/>
    <w:rsid w:val="002F22ED"/>
    <w:rsid w:val="002F25FD"/>
    <w:rsid w:val="002F2A0C"/>
    <w:rsid w:val="002F2AE0"/>
    <w:rsid w:val="002F3253"/>
    <w:rsid w:val="002F363D"/>
    <w:rsid w:val="002F3A67"/>
    <w:rsid w:val="002F3F16"/>
    <w:rsid w:val="002F413F"/>
    <w:rsid w:val="002F44AD"/>
    <w:rsid w:val="002F45D3"/>
    <w:rsid w:val="002F4934"/>
    <w:rsid w:val="002F4A52"/>
    <w:rsid w:val="002F4B4E"/>
    <w:rsid w:val="002F4CF5"/>
    <w:rsid w:val="002F4EE1"/>
    <w:rsid w:val="002F4F93"/>
    <w:rsid w:val="002F4FC5"/>
    <w:rsid w:val="002F5417"/>
    <w:rsid w:val="002F5422"/>
    <w:rsid w:val="002F5634"/>
    <w:rsid w:val="002F58FD"/>
    <w:rsid w:val="002F5FDA"/>
    <w:rsid w:val="002F619C"/>
    <w:rsid w:val="002F6319"/>
    <w:rsid w:val="002F6575"/>
    <w:rsid w:val="002F682F"/>
    <w:rsid w:val="002F68BF"/>
    <w:rsid w:val="002F6941"/>
    <w:rsid w:val="002F6A1F"/>
    <w:rsid w:val="002F6BDA"/>
    <w:rsid w:val="002F6DA5"/>
    <w:rsid w:val="002F6E26"/>
    <w:rsid w:val="002F6EA2"/>
    <w:rsid w:val="002F723A"/>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C0"/>
    <w:rsid w:val="003012ED"/>
    <w:rsid w:val="00301348"/>
    <w:rsid w:val="003013BD"/>
    <w:rsid w:val="00301524"/>
    <w:rsid w:val="003016FB"/>
    <w:rsid w:val="003017F2"/>
    <w:rsid w:val="00301A99"/>
    <w:rsid w:val="00301AB2"/>
    <w:rsid w:val="00301EE4"/>
    <w:rsid w:val="003021D9"/>
    <w:rsid w:val="003024AF"/>
    <w:rsid w:val="003024DE"/>
    <w:rsid w:val="00302701"/>
    <w:rsid w:val="00302734"/>
    <w:rsid w:val="00302739"/>
    <w:rsid w:val="00302D52"/>
    <w:rsid w:val="00302F8D"/>
    <w:rsid w:val="0030327E"/>
    <w:rsid w:val="0030361B"/>
    <w:rsid w:val="00303634"/>
    <w:rsid w:val="00303FB7"/>
    <w:rsid w:val="00303FD8"/>
    <w:rsid w:val="00304253"/>
    <w:rsid w:val="00304549"/>
    <w:rsid w:val="0030457C"/>
    <w:rsid w:val="0030469C"/>
    <w:rsid w:val="00304AC5"/>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CC6"/>
    <w:rsid w:val="00310CCB"/>
    <w:rsid w:val="00310F45"/>
    <w:rsid w:val="003110CB"/>
    <w:rsid w:val="00311162"/>
    <w:rsid w:val="003111DA"/>
    <w:rsid w:val="00311642"/>
    <w:rsid w:val="00311735"/>
    <w:rsid w:val="00311761"/>
    <w:rsid w:val="00311941"/>
    <w:rsid w:val="00311AFC"/>
    <w:rsid w:val="00311ECE"/>
    <w:rsid w:val="003121B8"/>
    <w:rsid w:val="00312261"/>
    <w:rsid w:val="00312940"/>
    <w:rsid w:val="003137A0"/>
    <w:rsid w:val="003137ED"/>
    <w:rsid w:val="00313C09"/>
    <w:rsid w:val="00313C25"/>
    <w:rsid w:val="00313C4F"/>
    <w:rsid w:val="003141C2"/>
    <w:rsid w:val="0031420C"/>
    <w:rsid w:val="00314629"/>
    <w:rsid w:val="00314E28"/>
    <w:rsid w:val="0031518B"/>
    <w:rsid w:val="003152BC"/>
    <w:rsid w:val="0031568C"/>
    <w:rsid w:val="00315856"/>
    <w:rsid w:val="0031586B"/>
    <w:rsid w:val="00315908"/>
    <w:rsid w:val="0031599D"/>
    <w:rsid w:val="00315B2C"/>
    <w:rsid w:val="00315EA0"/>
    <w:rsid w:val="00315F72"/>
    <w:rsid w:val="00316072"/>
    <w:rsid w:val="00316265"/>
    <w:rsid w:val="00316635"/>
    <w:rsid w:val="00316687"/>
    <w:rsid w:val="00316A94"/>
    <w:rsid w:val="00316C58"/>
    <w:rsid w:val="00316E46"/>
    <w:rsid w:val="00317050"/>
    <w:rsid w:val="003172FB"/>
    <w:rsid w:val="00317780"/>
    <w:rsid w:val="00317884"/>
    <w:rsid w:val="00317A42"/>
    <w:rsid w:val="00317B68"/>
    <w:rsid w:val="00317C55"/>
    <w:rsid w:val="00317D9A"/>
    <w:rsid w:val="00317EF6"/>
    <w:rsid w:val="003200D5"/>
    <w:rsid w:val="00320AD9"/>
    <w:rsid w:val="00320B1B"/>
    <w:rsid w:val="00320DF8"/>
    <w:rsid w:val="0032172E"/>
    <w:rsid w:val="00321774"/>
    <w:rsid w:val="00321822"/>
    <w:rsid w:val="00321B02"/>
    <w:rsid w:val="00321C76"/>
    <w:rsid w:val="00321D14"/>
    <w:rsid w:val="00321D73"/>
    <w:rsid w:val="00321D74"/>
    <w:rsid w:val="0032214B"/>
    <w:rsid w:val="00322292"/>
    <w:rsid w:val="003222E4"/>
    <w:rsid w:val="00322335"/>
    <w:rsid w:val="00322A6A"/>
    <w:rsid w:val="00322BC3"/>
    <w:rsid w:val="00322BFD"/>
    <w:rsid w:val="00322E3B"/>
    <w:rsid w:val="00323325"/>
    <w:rsid w:val="003238E7"/>
    <w:rsid w:val="00323FAD"/>
    <w:rsid w:val="003240E3"/>
    <w:rsid w:val="003240EB"/>
    <w:rsid w:val="00324636"/>
    <w:rsid w:val="00324731"/>
    <w:rsid w:val="003248A9"/>
    <w:rsid w:val="003249F8"/>
    <w:rsid w:val="003253CC"/>
    <w:rsid w:val="003259EB"/>
    <w:rsid w:val="00325CA6"/>
    <w:rsid w:val="00325D8A"/>
    <w:rsid w:val="003260C5"/>
    <w:rsid w:val="00326251"/>
    <w:rsid w:val="0032649F"/>
    <w:rsid w:val="003264A2"/>
    <w:rsid w:val="0032695B"/>
    <w:rsid w:val="00326BBA"/>
    <w:rsid w:val="003271E3"/>
    <w:rsid w:val="003272D0"/>
    <w:rsid w:val="003273DE"/>
    <w:rsid w:val="00327470"/>
    <w:rsid w:val="0032754B"/>
    <w:rsid w:val="003278C7"/>
    <w:rsid w:val="00327907"/>
    <w:rsid w:val="0032793B"/>
    <w:rsid w:val="0032796E"/>
    <w:rsid w:val="00327AEA"/>
    <w:rsid w:val="00327BC9"/>
    <w:rsid w:val="00327C03"/>
    <w:rsid w:val="00330001"/>
    <w:rsid w:val="003301C5"/>
    <w:rsid w:val="00330533"/>
    <w:rsid w:val="00330774"/>
    <w:rsid w:val="003308C4"/>
    <w:rsid w:val="00330990"/>
    <w:rsid w:val="00330C30"/>
    <w:rsid w:val="00330DE8"/>
    <w:rsid w:val="00331BCC"/>
    <w:rsid w:val="00331EDE"/>
    <w:rsid w:val="00332158"/>
    <w:rsid w:val="003321C3"/>
    <w:rsid w:val="00332659"/>
    <w:rsid w:val="0033265F"/>
    <w:rsid w:val="00332962"/>
    <w:rsid w:val="00332A33"/>
    <w:rsid w:val="00332B7D"/>
    <w:rsid w:val="003337C6"/>
    <w:rsid w:val="0033392F"/>
    <w:rsid w:val="00334476"/>
    <w:rsid w:val="0033468E"/>
    <w:rsid w:val="003349CA"/>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EA4"/>
    <w:rsid w:val="003370D3"/>
    <w:rsid w:val="003371CD"/>
    <w:rsid w:val="003375E8"/>
    <w:rsid w:val="0033785C"/>
    <w:rsid w:val="00337C71"/>
    <w:rsid w:val="00340841"/>
    <w:rsid w:val="00340984"/>
    <w:rsid w:val="00340B89"/>
    <w:rsid w:val="00340DF0"/>
    <w:rsid w:val="00340E16"/>
    <w:rsid w:val="00340E58"/>
    <w:rsid w:val="00341087"/>
    <w:rsid w:val="003410AF"/>
    <w:rsid w:val="0034119A"/>
    <w:rsid w:val="00341ACB"/>
    <w:rsid w:val="00341B5C"/>
    <w:rsid w:val="00341CDF"/>
    <w:rsid w:val="0034243C"/>
    <w:rsid w:val="0034246D"/>
    <w:rsid w:val="003424ED"/>
    <w:rsid w:val="003426DE"/>
    <w:rsid w:val="00342925"/>
    <w:rsid w:val="00342FD2"/>
    <w:rsid w:val="0034305B"/>
    <w:rsid w:val="003430E0"/>
    <w:rsid w:val="00343157"/>
    <w:rsid w:val="003435FF"/>
    <w:rsid w:val="00343752"/>
    <w:rsid w:val="003438EF"/>
    <w:rsid w:val="00343BE5"/>
    <w:rsid w:val="00343C24"/>
    <w:rsid w:val="00343D24"/>
    <w:rsid w:val="00343F02"/>
    <w:rsid w:val="00344490"/>
    <w:rsid w:val="003446D0"/>
    <w:rsid w:val="003446EC"/>
    <w:rsid w:val="00344725"/>
    <w:rsid w:val="00344898"/>
    <w:rsid w:val="00344C47"/>
    <w:rsid w:val="0034511B"/>
    <w:rsid w:val="00345530"/>
    <w:rsid w:val="00345641"/>
    <w:rsid w:val="00345AC1"/>
    <w:rsid w:val="00346390"/>
    <w:rsid w:val="00346444"/>
    <w:rsid w:val="00346780"/>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BAA"/>
    <w:rsid w:val="00350BCB"/>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DCD"/>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7030"/>
    <w:rsid w:val="003570F2"/>
    <w:rsid w:val="00357113"/>
    <w:rsid w:val="003571D6"/>
    <w:rsid w:val="003572DE"/>
    <w:rsid w:val="00357659"/>
    <w:rsid w:val="00357712"/>
    <w:rsid w:val="00357A5C"/>
    <w:rsid w:val="00357D8A"/>
    <w:rsid w:val="00357D91"/>
    <w:rsid w:val="0036012E"/>
    <w:rsid w:val="003601E8"/>
    <w:rsid w:val="0036029D"/>
    <w:rsid w:val="003604DB"/>
    <w:rsid w:val="0036056F"/>
    <w:rsid w:val="00360576"/>
    <w:rsid w:val="0036058B"/>
    <w:rsid w:val="0036085C"/>
    <w:rsid w:val="00360964"/>
    <w:rsid w:val="00360986"/>
    <w:rsid w:val="00360E73"/>
    <w:rsid w:val="00361604"/>
    <w:rsid w:val="0036174A"/>
    <w:rsid w:val="003617B5"/>
    <w:rsid w:val="0036185C"/>
    <w:rsid w:val="00361A72"/>
    <w:rsid w:val="00361B3C"/>
    <w:rsid w:val="00361C91"/>
    <w:rsid w:val="00361CF5"/>
    <w:rsid w:val="0036207C"/>
    <w:rsid w:val="00362335"/>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57B3"/>
    <w:rsid w:val="003665A6"/>
    <w:rsid w:val="003668A8"/>
    <w:rsid w:val="003668D5"/>
    <w:rsid w:val="00366AC3"/>
    <w:rsid w:val="00366CE5"/>
    <w:rsid w:val="00366EB2"/>
    <w:rsid w:val="00367080"/>
    <w:rsid w:val="00367477"/>
    <w:rsid w:val="00367948"/>
    <w:rsid w:val="00367D2F"/>
    <w:rsid w:val="00367D43"/>
    <w:rsid w:val="003700A7"/>
    <w:rsid w:val="00370285"/>
    <w:rsid w:val="003704EE"/>
    <w:rsid w:val="003705F6"/>
    <w:rsid w:val="00370880"/>
    <w:rsid w:val="00370A4F"/>
    <w:rsid w:val="00370EFD"/>
    <w:rsid w:val="00371137"/>
    <w:rsid w:val="003711DE"/>
    <w:rsid w:val="00371424"/>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F9"/>
    <w:rsid w:val="0037367A"/>
    <w:rsid w:val="00373C10"/>
    <w:rsid w:val="00373E10"/>
    <w:rsid w:val="00373EFE"/>
    <w:rsid w:val="00373F2C"/>
    <w:rsid w:val="0037406C"/>
    <w:rsid w:val="00374088"/>
    <w:rsid w:val="00374138"/>
    <w:rsid w:val="003741D2"/>
    <w:rsid w:val="003744CB"/>
    <w:rsid w:val="0037456D"/>
    <w:rsid w:val="0037457B"/>
    <w:rsid w:val="00374650"/>
    <w:rsid w:val="00374804"/>
    <w:rsid w:val="00374B2A"/>
    <w:rsid w:val="00374F06"/>
    <w:rsid w:val="00374F99"/>
    <w:rsid w:val="003758E4"/>
    <w:rsid w:val="00375BD5"/>
    <w:rsid w:val="00375D8D"/>
    <w:rsid w:val="00375FFC"/>
    <w:rsid w:val="003761A8"/>
    <w:rsid w:val="003764FA"/>
    <w:rsid w:val="00376699"/>
    <w:rsid w:val="00376897"/>
    <w:rsid w:val="003768C9"/>
    <w:rsid w:val="00376C80"/>
    <w:rsid w:val="00376E52"/>
    <w:rsid w:val="0037709A"/>
    <w:rsid w:val="00377146"/>
    <w:rsid w:val="00377397"/>
    <w:rsid w:val="003773F2"/>
    <w:rsid w:val="003774FD"/>
    <w:rsid w:val="003775BD"/>
    <w:rsid w:val="00377DD5"/>
    <w:rsid w:val="003803EA"/>
    <w:rsid w:val="0038084F"/>
    <w:rsid w:val="00380892"/>
    <w:rsid w:val="00380AE2"/>
    <w:rsid w:val="003811FC"/>
    <w:rsid w:val="00381685"/>
    <w:rsid w:val="00381C92"/>
    <w:rsid w:val="00381CE8"/>
    <w:rsid w:val="003821E7"/>
    <w:rsid w:val="003822AB"/>
    <w:rsid w:val="0038232C"/>
    <w:rsid w:val="003823B9"/>
    <w:rsid w:val="00382854"/>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A6B"/>
    <w:rsid w:val="00390B72"/>
    <w:rsid w:val="00390B8F"/>
    <w:rsid w:val="00390C20"/>
    <w:rsid w:val="00390C56"/>
    <w:rsid w:val="00390CC1"/>
    <w:rsid w:val="00390F47"/>
    <w:rsid w:val="00390FF2"/>
    <w:rsid w:val="0039122C"/>
    <w:rsid w:val="0039124D"/>
    <w:rsid w:val="0039147E"/>
    <w:rsid w:val="003914C2"/>
    <w:rsid w:val="00391645"/>
    <w:rsid w:val="00391907"/>
    <w:rsid w:val="00391A92"/>
    <w:rsid w:val="00391BBD"/>
    <w:rsid w:val="00391FA7"/>
    <w:rsid w:val="0039216C"/>
    <w:rsid w:val="003926BE"/>
    <w:rsid w:val="00392D6D"/>
    <w:rsid w:val="00392DB8"/>
    <w:rsid w:val="00392FDB"/>
    <w:rsid w:val="003936CD"/>
    <w:rsid w:val="00393848"/>
    <w:rsid w:val="00393A11"/>
    <w:rsid w:val="00393B78"/>
    <w:rsid w:val="00393DE9"/>
    <w:rsid w:val="00393F69"/>
    <w:rsid w:val="0039438D"/>
    <w:rsid w:val="00394739"/>
    <w:rsid w:val="00394775"/>
    <w:rsid w:val="00394A43"/>
    <w:rsid w:val="00394B44"/>
    <w:rsid w:val="00394E6F"/>
    <w:rsid w:val="0039502C"/>
    <w:rsid w:val="00395515"/>
    <w:rsid w:val="003956CC"/>
    <w:rsid w:val="003956FE"/>
    <w:rsid w:val="0039598F"/>
    <w:rsid w:val="003959BD"/>
    <w:rsid w:val="003960D5"/>
    <w:rsid w:val="0039610F"/>
    <w:rsid w:val="0039665F"/>
    <w:rsid w:val="0039678C"/>
    <w:rsid w:val="00396850"/>
    <w:rsid w:val="00397047"/>
    <w:rsid w:val="00397424"/>
    <w:rsid w:val="003976C6"/>
    <w:rsid w:val="003978B8"/>
    <w:rsid w:val="00397A38"/>
    <w:rsid w:val="00397B96"/>
    <w:rsid w:val="00397C89"/>
    <w:rsid w:val="00397D2B"/>
    <w:rsid w:val="00397E0D"/>
    <w:rsid w:val="003A01D5"/>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5CBC"/>
    <w:rsid w:val="003A5CC2"/>
    <w:rsid w:val="003A5E05"/>
    <w:rsid w:val="003A604A"/>
    <w:rsid w:val="003A6122"/>
    <w:rsid w:val="003A6330"/>
    <w:rsid w:val="003A65DA"/>
    <w:rsid w:val="003A65E0"/>
    <w:rsid w:val="003A67EA"/>
    <w:rsid w:val="003A6A09"/>
    <w:rsid w:val="003A6BC9"/>
    <w:rsid w:val="003A6ECA"/>
    <w:rsid w:val="003A76A9"/>
    <w:rsid w:val="003A7747"/>
    <w:rsid w:val="003A7930"/>
    <w:rsid w:val="003A7EBE"/>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7B9"/>
    <w:rsid w:val="003B480D"/>
    <w:rsid w:val="003B4849"/>
    <w:rsid w:val="003B4BCD"/>
    <w:rsid w:val="003B4FC5"/>
    <w:rsid w:val="003B53F5"/>
    <w:rsid w:val="003B570F"/>
    <w:rsid w:val="003B572F"/>
    <w:rsid w:val="003B5B57"/>
    <w:rsid w:val="003B5B7E"/>
    <w:rsid w:val="003B5E30"/>
    <w:rsid w:val="003B6194"/>
    <w:rsid w:val="003B6419"/>
    <w:rsid w:val="003B679E"/>
    <w:rsid w:val="003B67F5"/>
    <w:rsid w:val="003B68FD"/>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AE4"/>
    <w:rsid w:val="003D1DF2"/>
    <w:rsid w:val="003D1E37"/>
    <w:rsid w:val="003D2050"/>
    <w:rsid w:val="003D220E"/>
    <w:rsid w:val="003D2339"/>
    <w:rsid w:val="003D25CB"/>
    <w:rsid w:val="003D266F"/>
    <w:rsid w:val="003D26AA"/>
    <w:rsid w:val="003D280F"/>
    <w:rsid w:val="003D2A2B"/>
    <w:rsid w:val="003D308D"/>
    <w:rsid w:val="003D3201"/>
    <w:rsid w:val="003D320C"/>
    <w:rsid w:val="003D34D8"/>
    <w:rsid w:val="003D3666"/>
    <w:rsid w:val="003D3913"/>
    <w:rsid w:val="003D39A6"/>
    <w:rsid w:val="003D3B53"/>
    <w:rsid w:val="003D3D1B"/>
    <w:rsid w:val="003D3F75"/>
    <w:rsid w:val="003D42A0"/>
    <w:rsid w:val="003D4330"/>
    <w:rsid w:val="003D4350"/>
    <w:rsid w:val="003D4409"/>
    <w:rsid w:val="003D4759"/>
    <w:rsid w:val="003D50AE"/>
    <w:rsid w:val="003D5176"/>
    <w:rsid w:val="003D52A8"/>
    <w:rsid w:val="003D5497"/>
    <w:rsid w:val="003D5717"/>
    <w:rsid w:val="003D5878"/>
    <w:rsid w:val="003D59FE"/>
    <w:rsid w:val="003D5E2D"/>
    <w:rsid w:val="003D6000"/>
    <w:rsid w:val="003D60D5"/>
    <w:rsid w:val="003D63BA"/>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603"/>
    <w:rsid w:val="003E1748"/>
    <w:rsid w:val="003E187F"/>
    <w:rsid w:val="003E18AD"/>
    <w:rsid w:val="003E19B9"/>
    <w:rsid w:val="003E1B68"/>
    <w:rsid w:val="003E1BC1"/>
    <w:rsid w:val="003E1CF4"/>
    <w:rsid w:val="003E240A"/>
    <w:rsid w:val="003E2911"/>
    <w:rsid w:val="003E2BF4"/>
    <w:rsid w:val="003E2CCC"/>
    <w:rsid w:val="003E2EB5"/>
    <w:rsid w:val="003E2F85"/>
    <w:rsid w:val="003E34E1"/>
    <w:rsid w:val="003E3524"/>
    <w:rsid w:val="003E35CE"/>
    <w:rsid w:val="003E3900"/>
    <w:rsid w:val="003E3C5B"/>
    <w:rsid w:val="003E3D11"/>
    <w:rsid w:val="003E40C9"/>
    <w:rsid w:val="003E4155"/>
    <w:rsid w:val="003E4CDB"/>
    <w:rsid w:val="003E4EBB"/>
    <w:rsid w:val="003E5193"/>
    <w:rsid w:val="003E51D0"/>
    <w:rsid w:val="003E52EB"/>
    <w:rsid w:val="003E5B29"/>
    <w:rsid w:val="003E6592"/>
    <w:rsid w:val="003E6A94"/>
    <w:rsid w:val="003E703E"/>
    <w:rsid w:val="003E709B"/>
    <w:rsid w:val="003E73BC"/>
    <w:rsid w:val="003E7A07"/>
    <w:rsid w:val="003F052C"/>
    <w:rsid w:val="003F0656"/>
    <w:rsid w:val="003F0905"/>
    <w:rsid w:val="003F0D71"/>
    <w:rsid w:val="003F11EA"/>
    <w:rsid w:val="003F1438"/>
    <w:rsid w:val="003F14D7"/>
    <w:rsid w:val="003F16E1"/>
    <w:rsid w:val="003F1B6D"/>
    <w:rsid w:val="003F1BFD"/>
    <w:rsid w:val="003F1D73"/>
    <w:rsid w:val="003F20E2"/>
    <w:rsid w:val="003F2244"/>
    <w:rsid w:val="003F2301"/>
    <w:rsid w:val="003F23A7"/>
    <w:rsid w:val="003F2564"/>
    <w:rsid w:val="003F2624"/>
    <w:rsid w:val="003F2711"/>
    <w:rsid w:val="003F2817"/>
    <w:rsid w:val="003F2A56"/>
    <w:rsid w:val="003F2DEB"/>
    <w:rsid w:val="003F324B"/>
    <w:rsid w:val="003F3652"/>
    <w:rsid w:val="003F3865"/>
    <w:rsid w:val="003F3A47"/>
    <w:rsid w:val="003F3DFF"/>
    <w:rsid w:val="003F412F"/>
    <w:rsid w:val="003F414F"/>
    <w:rsid w:val="003F45DF"/>
    <w:rsid w:val="003F461C"/>
    <w:rsid w:val="003F4933"/>
    <w:rsid w:val="003F4977"/>
    <w:rsid w:val="003F4E1C"/>
    <w:rsid w:val="003F4E39"/>
    <w:rsid w:val="003F4ED8"/>
    <w:rsid w:val="003F4FF7"/>
    <w:rsid w:val="003F536B"/>
    <w:rsid w:val="003F548A"/>
    <w:rsid w:val="003F54B5"/>
    <w:rsid w:val="003F5834"/>
    <w:rsid w:val="003F586D"/>
    <w:rsid w:val="003F59D4"/>
    <w:rsid w:val="003F5C53"/>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400032"/>
    <w:rsid w:val="0040012F"/>
    <w:rsid w:val="0040015E"/>
    <w:rsid w:val="0040024B"/>
    <w:rsid w:val="00400427"/>
    <w:rsid w:val="00400685"/>
    <w:rsid w:val="00400DD0"/>
    <w:rsid w:val="004010CF"/>
    <w:rsid w:val="00401201"/>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C3F"/>
    <w:rsid w:val="00403F25"/>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7CD"/>
    <w:rsid w:val="00406B5B"/>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146"/>
    <w:rsid w:val="00412697"/>
    <w:rsid w:val="004129E0"/>
    <w:rsid w:val="00412CB9"/>
    <w:rsid w:val="00412DBE"/>
    <w:rsid w:val="00412F8D"/>
    <w:rsid w:val="00412FAA"/>
    <w:rsid w:val="00413369"/>
    <w:rsid w:val="00413501"/>
    <w:rsid w:val="004136D6"/>
    <w:rsid w:val="00413C73"/>
    <w:rsid w:val="00413F24"/>
    <w:rsid w:val="00413F89"/>
    <w:rsid w:val="00414129"/>
    <w:rsid w:val="004145AE"/>
    <w:rsid w:val="004149A5"/>
    <w:rsid w:val="004149C8"/>
    <w:rsid w:val="00414A69"/>
    <w:rsid w:val="00414FDE"/>
    <w:rsid w:val="00415091"/>
    <w:rsid w:val="0041577E"/>
    <w:rsid w:val="004157F6"/>
    <w:rsid w:val="00415894"/>
    <w:rsid w:val="0041596C"/>
    <w:rsid w:val="004159D3"/>
    <w:rsid w:val="00415A14"/>
    <w:rsid w:val="00415EF5"/>
    <w:rsid w:val="0041616C"/>
    <w:rsid w:val="00416468"/>
    <w:rsid w:val="004168E2"/>
    <w:rsid w:val="00416A66"/>
    <w:rsid w:val="00416B73"/>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7B5"/>
    <w:rsid w:val="00421824"/>
    <w:rsid w:val="00421904"/>
    <w:rsid w:val="00421BFD"/>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C97"/>
    <w:rsid w:val="00425FFD"/>
    <w:rsid w:val="00426258"/>
    <w:rsid w:val="004262F8"/>
    <w:rsid w:val="00426442"/>
    <w:rsid w:val="0042654A"/>
    <w:rsid w:val="00426A93"/>
    <w:rsid w:val="00426DFA"/>
    <w:rsid w:val="004273BA"/>
    <w:rsid w:val="004273DB"/>
    <w:rsid w:val="004276E3"/>
    <w:rsid w:val="004279ED"/>
    <w:rsid w:val="00427AF4"/>
    <w:rsid w:val="00427E47"/>
    <w:rsid w:val="00427E67"/>
    <w:rsid w:val="0043001B"/>
    <w:rsid w:val="00430178"/>
    <w:rsid w:val="00430495"/>
    <w:rsid w:val="00430680"/>
    <w:rsid w:val="00430773"/>
    <w:rsid w:val="00430A72"/>
    <w:rsid w:val="004314E7"/>
    <w:rsid w:val="00431617"/>
    <w:rsid w:val="00431873"/>
    <w:rsid w:val="0043189C"/>
    <w:rsid w:val="0043193A"/>
    <w:rsid w:val="00431B48"/>
    <w:rsid w:val="00431B5D"/>
    <w:rsid w:val="00431CB1"/>
    <w:rsid w:val="00431D22"/>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A3B"/>
    <w:rsid w:val="00436B64"/>
    <w:rsid w:val="00436DF9"/>
    <w:rsid w:val="00436F11"/>
    <w:rsid w:val="00437027"/>
    <w:rsid w:val="00437132"/>
    <w:rsid w:val="004371AB"/>
    <w:rsid w:val="004374E8"/>
    <w:rsid w:val="0043751C"/>
    <w:rsid w:val="004375CC"/>
    <w:rsid w:val="00437994"/>
    <w:rsid w:val="00437A19"/>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88A"/>
    <w:rsid w:val="00450AF7"/>
    <w:rsid w:val="00450B28"/>
    <w:rsid w:val="00450B54"/>
    <w:rsid w:val="00450B61"/>
    <w:rsid w:val="00450D3B"/>
    <w:rsid w:val="004513BD"/>
    <w:rsid w:val="004518D5"/>
    <w:rsid w:val="004519BF"/>
    <w:rsid w:val="00451B06"/>
    <w:rsid w:val="00451BEB"/>
    <w:rsid w:val="00451CAF"/>
    <w:rsid w:val="004527C0"/>
    <w:rsid w:val="004533DE"/>
    <w:rsid w:val="004537C7"/>
    <w:rsid w:val="00453871"/>
    <w:rsid w:val="00453B25"/>
    <w:rsid w:val="00453B31"/>
    <w:rsid w:val="00453D65"/>
    <w:rsid w:val="00453DEF"/>
    <w:rsid w:val="004543E4"/>
    <w:rsid w:val="00454538"/>
    <w:rsid w:val="004548E5"/>
    <w:rsid w:val="00454ADA"/>
    <w:rsid w:val="00454F08"/>
    <w:rsid w:val="0045502E"/>
    <w:rsid w:val="00455105"/>
    <w:rsid w:val="00455296"/>
    <w:rsid w:val="004553ED"/>
    <w:rsid w:val="0045564C"/>
    <w:rsid w:val="00455C09"/>
    <w:rsid w:val="00455E88"/>
    <w:rsid w:val="00456114"/>
    <w:rsid w:val="00456259"/>
    <w:rsid w:val="0045664E"/>
    <w:rsid w:val="0045682F"/>
    <w:rsid w:val="00456971"/>
    <w:rsid w:val="00456995"/>
    <w:rsid w:val="004569CC"/>
    <w:rsid w:val="00456B9B"/>
    <w:rsid w:val="00456EE5"/>
    <w:rsid w:val="0045742D"/>
    <w:rsid w:val="00457C5E"/>
    <w:rsid w:val="0046026D"/>
    <w:rsid w:val="0046027A"/>
    <w:rsid w:val="004603B2"/>
    <w:rsid w:val="004605CC"/>
    <w:rsid w:val="0046068C"/>
    <w:rsid w:val="0046072D"/>
    <w:rsid w:val="00460921"/>
    <w:rsid w:val="00460958"/>
    <w:rsid w:val="00460B0C"/>
    <w:rsid w:val="00460D24"/>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FC4"/>
    <w:rsid w:val="004630E3"/>
    <w:rsid w:val="00463448"/>
    <w:rsid w:val="0046434B"/>
    <w:rsid w:val="00464374"/>
    <w:rsid w:val="00464513"/>
    <w:rsid w:val="00464919"/>
    <w:rsid w:val="00464EE0"/>
    <w:rsid w:val="00465461"/>
    <w:rsid w:val="00465467"/>
    <w:rsid w:val="00465573"/>
    <w:rsid w:val="0046583F"/>
    <w:rsid w:val="004658C3"/>
    <w:rsid w:val="00465AAF"/>
    <w:rsid w:val="00465EB3"/>
    <w:rsid w:val="0046645E"/>
    <w:rsid w:val="00466B1F"/>
    <w:rsid w:val="00466F44"/>
    <w:rsid w:val="004673C7"/>
    <w:rsid w:val="004676AC"/>
    <w:rsid w:val="00467716"/>
    <w:rsid w:val="00467838"/>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B"/>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EF1"/>
    <w:rsid w:val="00476FC4"/>
    <w:rsid w:val="004774B3"/>
    <w:rsid w:val="004774C5"/>
    <w:rsid w:val="004775ED"/>
    <w:rsid w:val="004777C7"/>
    <w:rsid w:val="00477A64"/>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5FF"/>
    <w:rsid w:val="00482849"/>
    <w:rsid w:val="00482943"/>
    <w:rsid w:val="00482ADC"/>
    <w:rsid w:val="00482B1F"/>
    <w:rsid w:val="00482BAD"/>
    <w:rsid w:val="004830B5"/>
    <w:rsid w:val="0048331B"/>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D74"/>
    <w:rsid w:val="00486EC5"/>
    <w:rsid w:val="00487056"/>
    <w:rsid w:val="004870F1"/>
    <w:rsid w:val="004873B1"/>
    <w:rsid w:val="00487442"/>
    <w:rsid w:val="004874D5"/>
    <w:rsid w:val="004877EB"/>
    <w:rsid w:val="004878E5"/>
    <w:rsid w:val="00487BB8"/>
    <w:rsid w:val="00487F28"/>
    <w:rsid w:val="00490649"/>
    <w:rsid w:val="004906A1"/>
    <w:rsid w:val="0049093B"/>
    <w:rsid w:val="00490DB0"/>
    <w:rsid w:val="00490E6F"/>
    <w:rsid w:val="00490E94"/>
    <w:rsid w:val="00490EE3"/>
    <w:rsid w:val="00490F10"/>
    <w:rsid w:val="004913ED"/>
    <w:rsid w:val="0049143D"/>
    <w:rsid w:val="00491473"/>
    <w:rsid w:val="00491728"/>
    <w:rsid w:val="00491799"/>
    <w:rsid w:val="004918A0"/>
    <w:rsid w:val="004924E5"/>
    <w:rsid w:val="00492619"/>
    <w:rsid w:val="004926B8"/>
    <w:rsid w:val="00492D3C"/>
    <w:rsid w:val="00492ECB"/>
    <w:rsid w:val="00492F8C"/>
    <w:rsid w:val="0049349F"/>
    <w:rsid w:val="004935A4"/>
    <w:rsid w:val="00493D08"/>
    <w:rsid w:val="00494280"/>
    <w:rsid w:val="00494839"/>
    <w:rsid w:val="0049484A"/>
    <w:rsid w:val="00494D25"/>
    <w:rsid w:val="00494E75"/>
    <w:rsid w:val="00495071"/>
    <w:rsid w:val="004950E4"/>
    <w:rsid w:val="00495227"/>
    <w:rsid w:val="00495241"/>
    <w:rsid w:val="00495280"/>
    <w:rsid w:val="0049554E"/>
    <w:rsid w:val="00495AC7"/>
    <w:rsid w:val="00495D52"/>
    <w:rsid w:val="004961DB"/>
    <w:rsid w:val="0049633C"/>
    <w:rsid w:val="004964A8"/>
    <w:rsid w:val="0049653E"/>
    <w:rsid w:val="0049681D"/>
    <w:rsid w:val="004969AF"/>
    <w:rsid w:val="00496BEF"/>
    <w:rsid w:val="0049789D"/>
    <w:rsid w:val="0049792C"/>
    <w:rsid w:val="00497DED"/>
    <w:rsid w:val="004A0135"/>
    <w:rsid w:val="004A01E1"/>
    <w:rsid w:val="004A050E"/>
    <w:rsid w:val="004A05EF"/>
    <w:rsid w:val="004A06D4"/>
    <w:rsid w:val="004A076D"/>
    <w:rsid w:val="004A0814"/>
    <w:rsid w:val="004A0E00"/>
    <w:rsid w:val="004A12F6"/>
    <w:rsid w:val="004A151A"/>
    <w:rsid w:val="004A15F7"/>
    <w:rsid w:val="004A1600"/>
    <w:rsid w:val="004A170E"/>
    <w:rsid w:val="004A1B20"/>
    <w:rsid w:val="004A1D1E"/>
    <w:rsid w:val="004A201F"/>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69D"/>
    <w:rsid w:val="004A4900"/>
    <w:rsid w:val="004A4ABF"/>
    <w:rsid w:val="004A4BE5"/>
    <w:rsid w:val="004A4C8C"/>
    <w:rsid w:val="004A4D38"/>
    <w:rsid w:val="004A4E7E"/>
    <w:rsid w:val="004A4E95"/>
    <w:rsid w:val="004A5270"/>
    <w:rsid w:val="004A5667"/>
    <w:rsid w:val="004A57FC"/>
    <w:rsid w:val="004A5E7B"/>
    <w:rsid w:val="004A6331"/>
    <w:rsid w:val="004A6427"/>
    <w:rsid w:val="004A6704"/>
    <w:rsid w:val="004A6AFF"/>
    <w:rsid w:val="004A6D4D"/>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687"/>
    <w:rsid w:val="004B06B7"/>
    <w:rsid w:val="004B0706"/>
    <w:rsid w:val="004B0770"/>
    <w:rsid w:val="004B0787"/>
    <w:rsid w:val="004B0EDE"/>
    <w:rsid w:val="004B1313"/>
    <w:rsid w:val="004B1357"/>
    <w:rsid w:val="004B13C8"/>
    <w:rsid w:val="004B169E"/>
    <w:rsid w:val="004B1B53"/>
    <w:rsid w:val="004B1C42"/>
    <w:rsid w:val="004B26D8"/>
    <w:rsid w:val="004B26FA"/>
    <w:rsid w:val="004B2700"/>
    <w:rsid w:val="004B29A5"/>
    <w:rsid w:val="004B2B31"/>
    <w:rsid w:val="004B2C33"/>
    <w:rsid w:val="004B2CDB"/>
    <w:rsid w:val="004B2DBE"/>
    <w:rsid w:val="004B31C2"/>
    <w:rsid w:val="004B31F0"/>
    <w:rsid w:val="004B32CA"/>
    <w:rsid w:val="004B32E2"/>
    <w:rsid w:val="004B33E4"/>
    <w:rsid w:val="004B3A42"/>
    <w:rsid w:val="004B3C3F"/>
    <w:rsid w:val="004B3FCB"/>
    <w:rsid w:val="004B440D"/>
    <w:rsid w:val="004B4433"/>
    <w:rsid w:val="004B45A2"/>
    <w:rsid w:val="004B48F7"/>
    <w:rsid w:val="004B4A0F"/>
    <w:rsid w:val="004B4AA2"/>
    <w:rsid w:val="004B4C67"/>
    <w:rsid w:val="004B4C70"/>
    <w:rsid w:val="004B50E0"/>
    <w:rsid w:val="004B55EC"/>
    <w:rsid w:val="004B5B46"/>
    <w:rsid w:val="004B5D09"/>
    <w:rsid w:val="004B5E6E"/>
    <w:rsid w:val="004B5F75"/>
    <w:rsid w:val="004B61AD"/>
    <w:rsid w:val="004B6271"/>
    <w:rsid w:val="004B6301"/>
    <w:rsid w:val="004B66F8"/>
    <w:rsid w:val="004B6825"/>
    <w:rsid w:val="004B6A3B"/>
    <w:rsid w:val="004B6E5D"/>
    <w:rsid w:val="004B6FFB"/>
    <w:rsid w:val="004B7609"/>
    <w:rsid w:val="004B7851"/>
    <w:rsid w:val="004B795F"/>
    <w:rsid w:val="004B7AEB"/>
    <w:rsid w:val="004B7BA5"/>
    <w:rsid w:val="004B7D9F"/>
    <w:rsid w:val="004B7E94"/>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84"/>
    <w:rsid w:val="004C4448"/>
    <w:rsid w:val="004C475F"/>
    <w:rsid w:val="004C47FE"/>
    <w:rsid w:val="004C49C6"/>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DE6"/>
    <w:rsid w:val="004C6FC4"/>
    <w:rsid w:val="004C718C"/>
    <w:rsid w:val="004C730E"/>
    <w:rsid w:val="004C7739"/>
    <w:rsid w:val="004C7867"/>
    <w:rsid w:val="004C7BDF"/>
    <w:rsid w:val="004C7C2F"/>
    <w:rsid w:val="004C7D7C"/>
    <w:rsid w:val="004D001B"/>
    <w:rsid w:val="004D0200"/>
    <w:rsid w:val="004D0E42"/>
    <w:rsid w:val="004D171F"/>
    <w:rsid w:val="004D1916"/>
    <w:rsid w:val="004D1A33"/>
    <w:rsid w:val="004D1AD9"/>
    <w:rsid w:val="004D1D64"/>
    <w:rsid w:val="004D2474"/>
    <w:rsid w:val="004D24F2"/>
    <w:rsid w:val="004D2577"/>
    <w:rsid w:val="004D26C4"/>
    <w:rsid w:val="004D27C4"/>
    <w:rsid w:val="004D29B8"/>
    <w:rsid w:val="004D2A5B"/>
    <w:rsid w:val="004D2E1A"/>
    <w:rsid w:val="004D2E57"/>
    <w:rsid w:val="004D301A"/>
    <w:rsid w:val="004D3251"/>
    <w:rsid w:val="004D3361"/>
    <w:rsid w:val="004D358C"/>
    <w:rsid w:val="004D363A"/>
    <w:rsid w:val="004D44B1"/>
    <w:rsid w:val="004D4968"/>
    <w:rsid w:val="004D4977"/>
    <w:rsid w:val="004D4A8A"/>
    <w:rsid w:val="004D4BEA"/>
    <w:rsid w:val="004D50CC"/>
    <w:rsid w:val="004D58D1"/>
    <w:rsid w:val="004D5989"/>
    <w:rsid w:val="004D5C3D"/>
    <w:rsid w:val="004D5DB6"/>
    <w:rsid w:val="004D5EB9"/>
    <w:rsid w:val="004D5F02"/>
    <w:rsid w:val="004D654C"/>
    <w:rsid w:val="004D65FA"/>
    <w:rsid w:val="004D678B"/>
    <w:rsid w:val="004D68C0"/>
    <w:rsid w:val="004D710C"/>
    <w:rsid w:val="004D7423"/>
    <w:rsid w:val="004D7448"/>
    <w:rsid w:val="004D7872"/>
    <w:rsid w:val="004D7BB7"/>
    <w:rsid w:val="004D7CAC"/>
    <w:rsid w:val="004D7D11"/>
    <w:rsid w:val="004E0033"/>
    <w:rsid w:val="004E0108"/>
    <w:rsid w:val="004E03BE"/>
    <w:rsid w:val="004E0CD0"/>
    <w:rsid w:val="004E0D0B"/>
    <w:rsid w:val="004E1260"/>
    <w:rsid w:val="004E1486"/>
    <w:rsid w:val="004E16DA"/>
    <w:rsid w:val="004E1A45"/>
    <w:rsid w:val="004E1CBB"/>
    <w:rsid w:val="004E1D07"/>
    <w:rsid w:val="004E1F73"/>
    <w:rsid w:val="004E209D"/>
    <w:rsid w:val="004E213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B7F"/>
    <w:rsid w:val="004E7D7B"/>
    <w:rsid w:val="004E7DE7"/>
    <w:rsid w:val="004E7E45"/>
    <w:rsid w:val="004F003D"/>
    <w:rsid w:val="004F01B4"/>
    <w:rsid w:val="004F020A"/>
    <w:rsid w:val="004F02E1"/>
    <w:rsid w:val="004F0476"/>
    <w:rsid w:val="004F080C"/>
    <w:rsid w:val="004F09DD"/>
    <w:rsid w:val="004F0B5D"/>
    <w:rsid w:val="004F0C82"/>
    <w:rsid w:val="004F133C"/>
    <w:rsid w:val="004F13D2"/>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EA"/>
    <w:rsid w:val="004F3CEF"/>
    <w:rsid w:val="004F3DD1"/>
    <w:rsid w:val="004F3F81"/>
    <w:rsid w:val="004F4000"/>
    <w:rsid w:val="004F40F1"/>
    <w:rsid w:val="004F46B0"/>
    <w:rsid w:val="004F46D8"/>
    <w:rsid w:val="004F4760"/>
    <w:rsid w:val="004F48D9"/>
    <w:rsid w:val="004F4A70"/>
    <w:rsid w:val="004F4DAC"/>
    <w:rsid w:val="004F4E25"/>
    <w:rsid w:val="004F4E53"/>
    <w:rsid w:val="004F4EBA"/>
    <w:rsid w:val="004F4F76"/>
    <w:rsid w:val="004F50F4"/>
    <w:rsid w:val="004F58AB"/>
    <w:rsid w:val="004F5F53"/>
    <w:rsid w:val="004F62D0"/>
    <w:rsid w:val="004F66FA"/>
    <w:rsid w:val="004F67A9"/>
    <w:rsid w:val="004F6AFE"/>
    <w:rsid w:val="004F6BC6"/>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89"/>
    <w:rsid w:val="005050F8"/>
    <w:rsid w:val="0050555D"/>
    <w:rsid w:val="00505740"/>
    <w:rsid w:val="005057C9"/>
    <w:rsid w:val="00505850"/>
    <w:rsid w:val="00505A2A"/>
    <w:rsid w:val="00505AB3"/>
    <w:rsid w:val="00505CF5"/>
    <w:rsid w:val="00505D65"/>
    <w:rsid w:val="00505E39"/>
    <w:rsid w:val="0050614B"/>
    <w:rsid w:val="00506571"/>
    <w:rsid w:val="00506731"/>
    <w:rsid w:val="00506772"/>
    <w:rsid w:val="00506A8D"/>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4B0"/>
    <w:rsid w:val="00512747"/>
    <w:rsid w:val="00512756"/>
    <w:rsid w:val="00512995"/>
    <w:rsid w:val="00512B74"/>
    <w:rsid w:val="00512BD1"/>
    <w:rsid w:val="00512CA0"/>
    <w:rsid w:val="00512E7D"/>
    <w:rsid w:val="00512ED2"/>
    <w:rsid w:val="005131A8"/>
    <w:rsid w:val="005134D6"/>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31C"/>
    <w:rsid w:val="005167CD"/>
    <w:rsid w:val="00516B96"/>
    <w:rsid w:val="00516D2A"/>
    <w:rsid w:val="00516F2C"/>
    <w:rsid w:val="00517186"/>
    <w:rsid w:val="005173A4"/>
    <w:rsid w:val="0051748A"/>
    <w:rsid w:val="0051770E"/>
    <w:rsid w:val="0051772F"/>
    <w:rsid w:val="0051779B"/>
    <w:rsid w:val="0051785F"/>
    <w:rsid w:val="0052001B"/>
    <w:rsid w:val="005202BF"/>
    <w:rsid w:val="005205C8"/>
    <w:rsid w:val="005205D5"/>
    <w:rsid w:val="00520B90"/>
    <w:rsid w:val="00520FD0"/>
    <w:rsid w:val="005210F8"/>
    <w:rsid w:val="005211A2"/>
    <w:rsid w:val="00521922"/>
    <w:rsid w:val="00521C58"/>
    <w:rsid w:val="00521D65"/>
    <w:rsid w:val="00521E3F"/>
    <w:rsid w:val="00521F69"/>
    <w:rsid w:val="005221A4"/>
    <w:rsid w:val="005222CE"/>
    <w:rsid w:val="00522528"/>
    <w:rsid w:val="005227EA"/>
    <w:rsid w:val="00522C3A"/>
    <w:rsid w:val="00523366"/>
    <w:rsid w:val="00523544"/>
    <w:rsid w:val="005239A5"/>
    <w:rsid w:val="00523E18"/>
    <w:rsid w:val="00523F32"/>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F16"/>
    <w:rsid w:val="00525F71"/>
    <w:rsid w:val="00526270"/>
    <w:rsid w:val="005269C2"/>
    <w:rsid w:val="00526A55"/>
    <w:rsid w:val="00526C8A"/>
    <w:rsid w:val="00526E75"/>
    <w:rsid w:val="00527489"/>
    <w:rsid w:val="005276B9"/>
    <w:rsid w:val="00527883"/>
    <w:rsid w:val="0053012B"/>
    <w:rsid w:val="0053058D"/>
    <w:rsid w:val="00530A1A"/>
    <w:rsid w:val="00530AFD"/>
    <w:rsid w:val="00530B46"/>
    <w:rsid w:val="00530FBD"/>
    <w:rsid w:val="00530FF3"/>
    <w:rsid w:val="00531113"/>
    <w:rsid w:val="0053173A"/>
    <w:rsid w:val="00531824"/>
    <w:rsid w:val="00531AF4"/>
    <w:rsid w:val="00531F71"/>
    <w:rsid w:val="00532000"/>
    <w:rsid w:val="00532127"/>
    <w:rsid w:val="00532462"/>
    <w:rsid w:val="00532B16"/>
    <w:rsid w:val="00532B63"/>
    <w:rsid w:val="00532C9D"/>
    <w:rsid w:val="00532DBB"/>
    <w:rsid w:val="0053319F"/>
    <w:rsid w:val="00533215"/>
    <w:rsid w:val="005334E4"/>
    <w:rsid w:val="00533678"/>
    <w:rsid w:val="005336F3"/>
    <w:rsid w:val="005338BD"/>
    <w:rsid w:val="0053394F"/>
    <w:rsid w:val="00533AEB"/>
    <w:rsid w:val="00533D02"/>
    <w:rsid w:val="0053405D"/>
    <w:rsid w:val="00534451"/>
    <w:rsid w:val="00534640"/>
    <w:rsid w:val="00534695"/>
    <w:rsid w:val="005347FB"/>
    <w:rsid w:val="005348FE"/>
    <w:rsid w:val="005349EB"/>
    <w:rsid w:val="00534AA6"/>
    <w:rsid w:val="00534C83"/>
    <w:rsid w:val="0053502E"/>
    <w:rsid w:val="00535407"/>
    <w:rsid w:val="005354A1"/>
    <w:rsid w:val="00535590"/>
    <w:rsid w:val="00535737"/>
    <w:rsid w:val="00535932"/>
    <w:rsid w:val="00535993"/>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845"/>
    <w:rsid w:val="00543896"/>
    <w:rsid w:val="00543A66"/>
    <w:rsid w:val="00543A83"/>
    <w:rsid w:val="00543CB4"/>
    <w:rsid w:val="00544220"/>
    <w:rsid w:val="005444D2"/>
    <w:rsid w:val="0054466D"/>
    <w:rsid w:val="00544AAA"/>
    <w:rsid w:val="00544C33"/>
    <w:rsid w:val="00544EC0"/>
    <w:rsid w:val="00545216"/>
    <w:rsid w:val="0054556F"/>
    <w:rsid w:val="00545A3E"/>
    <w:rsid w:val="00545B4E"/>
    <w:rsid w:val="00545C3D"/>
    <w:rsid w:val="00545DA4"/>
    <w:rsid w:val="00545E6A"/>
    <w:rsid w:val="00546068"/>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F32"/>
    <w:rsid w:val="00550047"/>
    <w:rsid w:val="005502C4"/>
    <w:rsid w:val="0055039B"/>
    <w:rsid w:val="005504D9"/>
    <w:rsid w:val="00550C5D"/>
    <w:rsid w:val="00550C80"/>
    <w:rsid w:val="00550D45"/>
    <w:rsid w:val="00550D6F"/>
    <w:rsid w:val="00550E94"/>
    <w:rsid w:val="00550EA8"/>
    <w:rsid w:val="005511AC"/>
    <w:rsid w:val="005511B1"/>
    <w:rsid w:val="005511F3"/>
    <w:rsid w:val="0055128D"/>
    <w:rsid w:val="005512A5"/>
    <w:rsid w:val="0055149C"/>
    <w:rsid w:val="00551655"/>
    <w:rsid w:val="005517D9"/>
    <w:rsid w:val="00551E1E"/>
    <w:rsid w:val="00551E52"/>
    <w:rsid w:val="00551E84"/>
    <w:rsid w:val="00552038"/>
    <w:rsid w:val="0055233E"/>
    <w:rsid w:val="005523E0"/>
    <w:rsid w:val="00552569"/>
    <w:rsid w:val="005526F2"/>
    <w:rsid w:val="00552FF4"/>
    <w:rsid w:val="00553607"/>
    <w:rsid w:val="00553DFF"/>
    <w:rsid w:val="0055410A"/>
    <w:rsid w:val="005543EE"/>
    <w:rsid w:val="005547CB"/>
    <w:rsid w:val="00554DF7"/>
    <w:rsid w:val="005550F0"/>
    <w:rsid w:val="005553FF"/>
    <w:rsid w:val="00555675"/>
    <w:rsid w:val="005556AB"/>
    <w:rsid w:val="005556C8"/>
    <w:rsid w:val="00555713"/>
    <w:rsid w:val="00555772"/>
    <w:rsid w:val="00555C03"/>
    <w:rsid w:val="00555D6F"/>
    <w:rsid w:val="00555DC4"/>
    <w:rsid w:val="0055630A"/>
    <w:rsid w:val="0055643B"/>
    <w:rsid w:val="00556680"/>
    <w:rsid w:val="005567AA"/>
    <w:rsid w:val="005567BF"/>
    <w:rsid w:val="00556862"/>
    <w:rsid w:val="00556978"/>
    <w:rsid w:val="005569D2"/>
    <w:rsid w:val="00556BB2"/>
    <w:rsid w:val="00556DBC"/>
    <w:rsid w:val="005570E7"/>
    <w:rsid w:val="0055718D"/>
    <w:rsid w:val="00557283"/>
    <w:rsid w:val="00557464"/>
    <w:rsid w:val="00557541"/>
    <w:rsid w:val="0055771C"/>
    <w:rsid w:val="00557CAB"/>
    <w:rsid w:val="005608D5"/>
    <w:rsid w:val="00560955"/>
    <w:rsid w:val="00560AC9"/>
    <w:rsid w:val="00560DDA"/>
    <w:rsid w:val="00560F9A"/>
    <w:rsid w:val="00561250"/>
    <w:rsid w:val="0056134D"/>
    <w:rsid w:val="0056140C"/>
    <w:rsid w:val="005617E8"/>
    <w:rsid w:val="005619AD"/>
    <w:rsid w:val="00561A95"/>
    <w:rsid w:val="00561BF6"/>
    <w:rsid w:val="00561E36"/>
    <w:rsid w:val="00561E4A"/>
    <w:rsid w:val="00561E5E"/>
    <w:rsid w:val="00561F14"/>
    <w:rsid w:val="005620D9"/>
    <w:rsid w:val="00562496"/>
    <w:rsid w:val="005625FE"/>
    <w:rsid w:val="005629F1"/>
    <w:rsid w:val="00562BBD"/>
    <w:rsid w:val="00562CDC"/>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20B"/>
    <w:rsid w:val="00566219"/>
    <w:rsid w:val="0056636D"/>
    <w:rsid w:val="00566672"/>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83"/>
    <w:rsid w:val="00572643"/>
    <w:rsid w:val="00572E58"/>
    <w:rsid w:val="00572F26"/>
    <w:rsid w:val="00572F28"/>
    <w:rsid w:val="00572FCF"/>
    <w:rsid w:val="005730FF"/>
    <w:rsid w:val="005732CD"/>
    <w:rsid w:val="0057337E"/>
    <w:rsid w:val="00573753"/>
    <w:rsid w:val="0057380A"/>
    <w:rsid w:val="00573948"/>
    <w:rsid w:val="0057396C"/>
    <w:rsid w:val="00573BB0"/>
    <w:rsid w:val="00573D2B"/>
    <w:rsid w:val="00573F24"/>
    <w:rsid w:val="00574167"/>
    <w:rsid w:val="0057424C"/>
    <w:rsid w:val="00574265"/>
    <w:rsid w:val="00574329"/>
    <w:rsid w:val="00574886"/>
    <w:rsid w:val="00574B74"/>
    <w:rsid w:val="00574B86"/>
    <w:rsid w:val="00574D21"/>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50"/>
    <w:rsid w:val="00576FAF"/>
    <w:rsid w:val="00576FC7"/>
    <w:rsid w:val="00577004"/>
    <w:rsid w:val="0057716B"/>
    <w:rsid w:val="00577368"/>
    <w:rsid w:val="0057737A"/>
    <w:rsid w:val="005777AC"/>
    <w:rsid w:val="005778C3"/>
    <w:rsid w:val="00577BE4"/>
    <w:rsid w:val="00577EB4"/>
    <w:rsid w:val="00577F3D"/>
    <w:rsid w:val="00580282"/>
    <w:rsid w:val="00580988"/>
    <w:rsid w:val="0058099B"/>
    <w:rsid w:val="005809EB"/>
    <w:rsid w:val="005809F6"/>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4C7"/>
    <w:rsid w:val="0059284F"/>
    <w:rsid w:val="00592A3D"/>
    <w:rsid w:val="0059313B"/>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B87"/>
    <w:rsid w:val="00595BC4"/>
    <w:rsid w:val="00595C10"/>
    <w:rsid w:val="00595D05"/>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A0121"/>
    <w:rsid w:val="005A05C6"/>
    <w:rsid w:val="005A05DF"/>
    <w:rsid w:val="005A0753"/>
    <w:rsid w:val="005A0CB6"/>
    <w:rsid w:val="005A0D32"/>
    <w:rsid w:val="005A0F9B"/>
    <w:rsid w:val="005A1328"/>
    <w:rsid w:val="005A1D03"/>
    <w:rsid w:val="005A1D3E"/>
    <w:rsid w:val="005A1E4F"/>
    <w:rsid w:val="005A1F4A"/>
    <w:rsid w:val="005A1F92"/>
    <w:rsid w:val="005A2174"/>
    <w:rsid w:val="005A2229"/>
    <w:rsid w:val="005A2589"/>
    <w:rsid w:val="005A28D9"/>
    <w:rsid w:val="005A2A32"/>
    <w:rsid w:val="005A2BB3"/>
    <w:rsid w:val="005A320D"/>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69D"/>
    <w:rsid w:val="005A4999"/>
    <w:rsid w:val="005A4BF8"/>
    <w:rsid w:val="005A4E38"/>
    <w:rsid w:val="005A50CE"/>
    <w:rsid w:val="005A564E"/>
    <w:rsid w:val="005A588D"/>
    <w:rsid w:val="005A59CF"/>
    <w:rsid w:val="005A64B1"/>
    <w:rsid w:val="005A658E"/>
    <w:rsid w:val="005A696E"/>
    <w:rsid w:val="005A6A3A"/>
    <w:rsid w:val="005A6FA1"/>
    <w:rsid w:val="005A7E07"/>
    <w:rsid w:val="005A7F72"/>
    <w:rsid w:val="005B0065"/>
    <w:rsid w:val="005B0130"/>
    <w:rsid w:val="005B0604"/>
    <w:rsid w:val="005B0EC3"/>
    <w:rsid w:val="005B130F"/>
    <w:rsid w:val="005B1373"/>
    <w:rsid w:val="005B1EC3"/>
    <w:rsid w:val="005B1F54"/>
    <w:rsid w:val="005B224C"/>
    <w:rsid w:val="005B2D04"/>
    <w:rsid w:val="005B2D4D"/>
    <w:rsid w:val="005B2EB8"/>
    <w:rsid w:val="005B355C"/>
    <w:rsid w:val="005B37B2"/>
    <w:rsid w:val="005B3C58"/>
    <w:rsid w:val="005B3C7C"/>
    <w:rsid w:val="005B40EB"/>
    <w:rsid w:val="005B4911"/>
    <w:rsid w:val="005B4AFB"/>
    <w:rsid w:val="005B4C5C"/>
    <w:rsid w:val="005B4E3D"/>
    <w:rsid w:val="005B4E83"/>
    <w:rsid w:val="005B5011"/>
    <w:rsid w:val="005B541A"/>
    <w:rsid w:val="005B5425"/>
    <w:rsid w:val="005B54FE"/>
    <w:rsid w:val="005B5652"/>
    <w:rsid w:val="005B5887"/>
    <w:rsid w:val="005B594A"/>
    <w:rsid w:val="005B5A55"/>
    <w:rsid w:val="005B5BBA"/>
    <w:rsid w:val="005B5D1D"/>
    <w:rsid w:val="005B648E"/>
    <w:rsid w:val="005B66DE"/>
    <w:rsid w:val="005B6B96"/>
    <w:rsid w:val="005B6FAE"/>
    <w:rsid w:val="005B703E"/>
    <w:rsid w:val="005B7066"/>
    <w:rsid w:val="005B7069"/>
    <w:rsid w:val="005B70E8"/>
    <w:rsid w:val="005B7824"/>
    <w:rsid w:val="005B7B64"/>
    <w:rsid w:val="005B7D3F"/>
    <w:rsid w:val="005C0625"/>
    <w:rsid w:val="005C084F"/>
    <w:rsid w:val="005C0904"/>
    <w:rsid w:val="005C09BF"/>
    <w:rsid w:val="005C0AA7"/>
    <w:rsid w:val="005C0C82"/>
    <w:rsid w:val="005C0D61"/>
    <w:rsid w:val="005C0DDE"/>
    <w:rsid w:val="005C1042"/>
    <w:rsid w:val="005C116A"/>
    <w:rsid w:val="005C11DA"/>
    <w:rsid w:val="005C1225"/>
    <w:rsid w:val="005C1325"/>
    <w:rsid w:val="005C132F"/>
    <w:rsid w:val="005C1752"/>
    <w:rsid w:val="005C1894"/>
    <w:rsid w:val="005C1CE4"/>
    <w:rsid w:val="005C2144"/>
    <w:rsid w:val="005C3016"/>
    <w:rsid w:val="005C35F6"/>
    <w:rsid w:val="005C376D"/>
    <w:rsid w:val="005C37CF"/>
    <w:rsid w:val="005C3A65"/>
    <w:rsid w:val="005C3CDF"/>
    <w:rsid w:val="005C425E"/>
    <w:rsid w:val="005C4745"/>
    <w:rsid w:val="005C4B4D"/>
    <w:rsid w:val="005C4DE3"/>
    <w:rsid w:val="005C5379"/>
    <w:rsid w:val="005C5436"/>
    <w:rsid w:val="005C56B4"/>
    <w:rsid w:val="005C580E"/>
    <w:rsid w:val="005C5849"/>
    <w:rsid w:val="005C600A"/>
    <w:rsid w:val="005C63F0"/>
    <w:rsid w:val="005C6513"/>
    <w:rsid w:val="005C65E5"/>
    <w:rsid w:val="005C698C"/>
    <w:rsid w:val="005C6DD8"/>
    <w:rsid w:val="005C7340"/>
    <w:rsid w:val="005C7A54"/>
    <w:rsid w:val="005C7CAD"/>
    <w:rsid w:val="005C7D19"/>
    <w:rsid w:val="005C7EF8"/>
    <w:rsid w:val="005D0102"/>
    <w:rsid w:val="005D02FA"/>
    <w:rsid w:val="005D047B"/>
    <w:rsid w:val="005D0492"/>
    <w:rsid w:val="005D04A8"/>
    <w:rsid w:val="005D0790"/>
    <w:rsid w:val="005D1BAD"/>
    <w:rsid w:val="005D20FC"/>
    <w:rsid w:val="005D241F"/>
    <w:rsid w:val="005D2485"/>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46B"/>
    <w:rsid w:val="005D4764"/>
    <w:rsid w:val="005D495D"/>
    <w:rsid w:val="005D4BAB"/>
    <w:rsid w:val="005D4C6E"/>
    <w:rsid w:val="005D4C75"/>
    <w:rsid w:val="005D4D9D"/>
    <w:rsid w:val="005D52FA"/>
    <w:rsid w:val="005D5499"/>
    <w:rsid w:val="005D576B"/>
    <w:rsid w:val="005D594D"/>
    <w:rsid w:val="005D596D"/>
    <w:rsid w:val="005D5DD3"/>
    <w:rsid w:val="005D5E46"/>
    <w:rsid w:val="005D609E"/>
    <w:rsid w:val="005D610E"/>
    <w:rsid w:val="005D630C"/>
    <w:rsid w:val="005D6359"/>
    <w:rsid w:val="005D64A5"/>
    <w:rsid w:val="005D67D0"/>
    <w:rsid w:val="005D6929"/>
    <w:rsid w:val="005D6B30"/>
    <w:rsid w:val="005D6DD5"/>
    <w:rsid w:val="005D6E1C"/>
    <w:rsid w:val="005D7597"/>
    <w:rsid w:val="005D7741"/>
    <w:rsid w:val="005D77FB"/>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698"/>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E7DF4"/>
    <w:rsid w:val="005F02F8"/>
    <w:rsid w:val="005F031E"/>
    <w:rsid w:val="005F05F0"/>
    <w:rsid w:val="005F0B4C"/>
    <w:rsid w:val="005F0B53"/>
    <w:rsid w:val="005F0C46"/>
    <w:rsid w:val="005F0C73"/>
    <w:rsid w:val="005F101D"/>
    <w:rsid w:val="005F15BA"/>
    <w:rsid w:val="005F1809"/>
    <w:rsid w:val="005F1B86"/>
    <w:rsid w:val="005F1DD9"/>
    <w:rsid w:val="005F1E42"/>
    <w:rsid w:val="005F1ECC"/>
    <w:rsid w:val="005F1FE4"/>
    <w:rsid w:val="005F2292"/>
    <w:rsid w:val="005F2788"/>
    <w:rsid w:val="005F2CD8"/>
    <w:rsid w:val="005F2E91"/>
    <w:rsid w:val="005F327D"/>
    <w:rsid w:val="005F3430"/>
    <w:rsid w:val="005F369B"/>
    <w:rsid w:val="005F377C"/>
    <w:rsid w:val="005F3936"/>
    <w:rsid w:val="005F3D22"/>
    <w:rsid w:val="005F3F7F"/>
    <w:rsid w:val="005F401B"/>
    <w:rsid w:val="005F40E5"/>
    <w:rsid w:val="005F4364"/>
    <w:rsid w:val="005F45B2"/>
    <w:rsid w:val="005F46D9"/>
    <w:rsid w:val="005F4950"/>
    <w:rsid w:val="005F4CD1"/>
    <w:rsid w:val="005F509E"/>
    <w:rsid w:val="005F51BF"/>
    <w:rsid w:val="005F51DA"/>
    <w:rsid w:val="005F52F8"/>
    <w:rsid w:val="005F5464"/>
    <w:rsid w:val="005F60E7"/>
    <w:rsid w:val="005F649A"/>
    <w:rsid w:val="005F660A"/>
    <w:rsid w:val="005F6697"/>
    <w:rsid w:val="005F6983"/>
    <w:rsid w:val="005F6C51"/>
    <w:rsid w:val="005F6F9C"/>
    <w:rsid w:val="005F6FFC"/>
    <w:rsid w:val="005F7504"/>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F1"/>
    <w:rsid w:val="00602E23"/>
    <w:rsid w:val="00602F01"/>
    <w:rsid w:val="0060318C"/>
    <w:rsid w:val="00603648"/>
    <w:rsid w:val="00603773"/>
    <w:rsid w:val="006039C5"/>
    <w:rsid w:val="00603B1B"/>
    <w:rsid w:val="006040E4"/>
    <w:rsid w:val="00604148"/>
    <w:rsid w:val="006043D7"/>
    <w:rsid w:val="00604594"/>
    <w:rsid w:val="00604708"/>
    <w:rsid w:val="00604AAE"/>
    <w:rsid w:val="00604CFF"/>
    <w:rsid w:val="00604DDC"/>
    <w:rsid w:val="00604F9E"/>
    <w:rsid w:val="00605207"/>
    <w:rsid w:val="00605399"/>
    <w:rsid w:val="0060545C"/>
    <w:rsid w:val="006054E5"/>
    <w:rsid w:val="006054EE"/>
    <w:rsid w:val="0060591D"/>
    <w:rsid w:val="006059EC"/>
    <w:rsid w:val="00605B5D"/>
    <w:rsid w:val="00605D07"/>
    <w:rsid w:val="00605E70"/>
    <w:rsid w:val="006062D9"/>
    <w:rsid w:val="00606309"/>
    <w:rsid w:val="0060632A"/>
    <w:rsid w:val="006066AB"/>
    <w:rsid w:val="00606888"/>
    <w:rsid w:val="006069BB"/>
    <w:rsid w:val="00606D2C"/>
    <w:rsid w:val="00606EAF"/>
    <w:rsid w:val="00606FCB"/>
    <w:rsid w:val="00607039"/>
    <w:rsid w:val="006074B1"/>
    <w:rsid w:val="00607533"/>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1DA"/>
    <w:rsid w:val="006113A9"/>
    <w:rsid w:val="00611960"/>
    <w:rsid w:val="0061236F"/>
    <w:rsid w:val="0061264D"/>
    <w:rsid w:val="006126E9"/>
    <w:rsid w:val="00612724"/>
    <w:rsid w:val="006128B4"/>
    <w:rsid w:val="00612915"/>
    <w:rsid w:val="00612C73"/>
    <w:rsid w:val="00612C9A"/>
    <w:rsid w:val="00612D12"/>
    <w:rsid w:val="00613036"/>
    <w:rsid w:val="006132A9"/>
    <w:rsid w:val="006134CE"/>
    <w:rsid w:val="00613569"/>
    <w:rsid w:val="0061367D"/>
    <w:rsid w:val="006137E9"/>
    <w:rsid w:val="006138D8"/>
    <w:rsid w:val="00614064"/>
    <w:rsid w:val="006141D8"/>
    <w:rsid w:val="00614263"/>
    <w:rsid w:val="00614CB4"/>
    <w:rsid w:val="00614D1E"/>
    <w:rsid w:val="00615001"/>
    <w:rsid w:val="0061512A"/>
    <w:rsid w:val="0061524B"/>
    <w:rsid w:val="0061565F"/>
    <w:rsid w:val="00615686"/>
    <w:rsid w:val="006157CF"/>
    <w:rsid w:val="00615A71"/>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1FFB"/>
    <w:rsid w:val="006221D4"/>
    <w:rsid w:val="006225EE"/>
    <w:rsid w:val="0062286B"/>
    <w:rsid w:val="00622BE1"/>
    <w:rsid w:val="00622DE2"/>
    <w:rsid w:val="00623427"/>
    <w:rsid w:val="0062353F"/>
    <w:rsid w:val="00623E94"/>
    <w:rsid w:val="00623EF3"/>
    <w:rsid w:val="0062424C"/>
    <w:rsid w:val="0062427E"/>
    <w:rsid w:val="00624835"/>
    <w:rsid w:val="00624AFA"/>
    <w:rsid w:val="00624C6E"/>
    <w:rsid w:val="00624D40"/>
    <w:rsid w:val="00624FB3"/>
    <w:rsid w:val="006250F7"/>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23D"/>
    <w:rsid w:val="00631692"/>
    <w:rsid w:val="00631826"/>
    <w:rsid w:val="00631C1D"/>
    <w:rsid w:val="00631C9D"/>
    <w:rsid w:val="00631DA3"/>
    <w:rsid w:val="00631E9F"/>
    <w:rsid w:val="00631F11"/>
    <w:rsid w:val="00632107"/>
    <w:rsid w:val="00632507"/>
    <w:rsid w:val="006325C1"/>
    <w:rsid w:val="006326BC"/>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079"/>
    <w:rsid w:val="006341AD"/>
    <w:rsid w:val="00634232"/>
    <w:rsid w:val="006343CD"/>
    <w:rsid w:val="00634673"/>
    <w:rsid w:val="006347F5"/>
    <w:rsid w:val="0063486B"/>
    <w:rsid w:val="006351E2"/>
    <w:rsid w:val="006356B8"/>
    <w:rsid w:val="00635EDC"/>
    <w:rsid w:val="00635F56"/>
    <w:rsid w:val="00636094"/>
    <w:rsid w:val="0063681F"/>
    <w:rsid w:val="0063682D"/>
    <w:rsid w:val="00636948"/>
    <w:rsid w:val="00636A76"/>
    <w:rsid w:val="00636E9F"/>
    <w:rsid w:val="0063717F"/>
    <w:rsid w:val="006372C0"/>
    <w:rsid w:val="006373C7"/>
    <w:rsid w:val="006374F0"/>
    <w:rsid w:val="006376E2"/>
    <w:rsid w:val="00637C24"/>
    <w:rsid w:val="00637DC7"/>
    <w:rsid w:val="00637E00"/>
    <w:rsid w:val="006400F9"/>
    <w:rsid w:val="006401C6"/>
    <w:rsid w:val="00640207"/>
    <w:rsid w:val="00640222"/>
    <w:rsid w:val="00640529"/>
    <w:rsid w:val="0064065A"/>
    <w:rsid w:val="0064087C"/>
    <w:rsid w:val="006409F3"/>
    <w:rsid w:val="00640B3C"/>
    <w:rsid w:val="00640B5E"/>
    <w:rsid w:val="00641061"/>
    <w:rsid w:val="006419E1"/>
    <w:rsid w:val="006419ED"/>
    <w:rsid w:val="00642346"/>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52C"/>
    <w:rsid w:val="006456B3"/>
    <w:rsid w:val="006457B7"/>
    <w:rsid w:val="00645C2A"/>
    <w:rsid w:val="00645C7B"/>
    <w:rsid w:val="00646059"/>
    <w:rsid w:val="00646556"/>
    <w:rsid w:val="006470DA"/>
    <w:rsid w:val="0064714D"/>
    <w:rsid w:val="006473FF"/>
    <w:rsid w:val="00647716"/>
    <w:rsid w:val="00647CB3"/>
    <w:rsid w:val="00647D60"/>
    <w:rsid w:val="00650150"/>
    <w:rsid w:val="00650854"/>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4F6"/>
    <w:rsid w:val="006546C8"/>
    <w:rsid w:val="00654A54"/>
    <w:rsid w:val="00654B42"/>
    <w:rsid w:val="00654C2D"/>
    <w:rsid w:val="00654C81"/>
    <w:rsid w:val="00655068"/>
    <w:rsid w:val="00655070"/>
    <w:rsid w:val="00655223"/>
    <w:rsid w:val="00655780"/>
    <w:rsid w:val="0065594D"/>
    <w:rsid w:val="00655F76"/>
    <w:rsid w:val="00655FCA"/>
    <w:rsid w:val="006561FF"/>
    <w:rsid w:val="006565B6"/>
    <w:rsid w:val="006565E1"/>
    <w:rsid w:val="00656884"/>
    <w:rsid w:val="00656D6F"/>
    <w:rsid w:val="00657005"/>
    <w:rsid w:val="006578D9"/>
    <w:rsid w:val="00657F67"/>
    <w:rsid w:val="006601F9"/>
    <w:rsid w:val="006602D1"/>
    <w:rsid w:val="006605DC"/>
    <w:rsid w:val="00660EAD"/>
    <w:rsid w:val="00661601"/>
    <w:rsid w:val="00661636"/>
    <w:rsid w:val="0066198A"/>
    <w:rsid w:val="0066198F"/>
    <w:rsid w:val="006619A5"/>
    <w:rsid w:val="00661C1D"/>
    <w:rsid w:val="00661CC2"/>
    <w:rsid w:val="00661EFC"/>
    <w:rsid w:val="006620A8"/>
    <w:rsid w:val="006620C1"/>
    <w:rsid w:val="00662166"/>
    <w:rsid w:val="006621E3"/>
    <w:rsid w:val="006622FD"/>
    <w:rsid w:val="00662647"/>
    <w:rsid w:val="00662972"/>
    <w:rsid w:val="00662D38"/>
    <w:rsid w:val="00662DBC"/>
    <w:rsid w:val="00662F29"/>
    <w:rsid w:val="00662FA2"/>
    <w:rsid w:val="006631ED"/>
    <w:rsid w:val="00663572"/>
    <w:rsid w:val="006635DC"/>
    <w:rsid w:val="00663908"/>
    <w:rsid w:val="00663A6A"/>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72FC"/>
    <w:rsid w:val="00667538"/>
    <w:rsid w:val="00667A27"/>
    <w:rsid w:val="00667C90"/>
    <w:rsid w:val="0067016D"/>
    <w:rsid w:val="006704BF"/>
    <w:rsid w:val="00670AAB"/>
    <w:rsid w:val="00670AD6"/>
    <w:rsid w:val="00670CC3"/>
    <w:rsid w:val="00670D00"/>
    <w:rsid w:val="00670ECD"/>
    <w:rsid w:val="00671BC8"/>
    <w:rsid w:val="00671C8F"/>
    <w:rsid w:val="00671DC8"/>
    <w:rsid w:val="0067222A"/>
    <w:rsid w:val="00672575"/>
    <w:rsid w:val="006727C1"/>
    <w:rsid w:val="00672966"/>
    <w:rsid w:val="006729A2"/>
    <w:rsid w:val="006729D5"/>
    <w:rsid w:val="00672B94"/>
    <w:rsid w:val="00672E1A"/>
    <w:rsid w:val="00672F44"/>
    <w:rsid w:val="006731E5"/>
    <w:rsid w:val="0067330E"/>
    <w:rsid w:val="006735BC"/>
    <w:rsid w:val="00673634"/>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5D29"/>
    <w:rsid w:val="006763E2"/>
    <w:rsid w:val="00676471"/>
    <w:rsid w:val="006767B8"/>
    <w:rsid w:val="00676853"/>
    <w:rsid w:val="00676CF3"/>
    <w:rsid w:val="00677012"/>
    <w:rsid w:val="006773BF"/>
    <w:rsid w:val="00677551"/>
    <w:rsid w:val="00677725"/>
    <w:rsid w:val="0067778F"/>
    <w:rsid w:val="006779E8"/>
    <w:rsid w:val="00677A1B"/>
    <w:rsid w:val="00677AE8"/>
    <w:rsid w:val="0068013A"/>
    <w:rsid w:val="006803A3"/>
    <w:rsid w:val="00680A97"/>
    <w:rsid w:val="00680C95"/>
    <w:rsid w:val="00680F30"/>
    <w:rsid w:val="00680F81"/>
    <w:rsid w:val="0068102D"/>
    <w:rsid w:val="00681725"/>
    <w:rsid w:val="006819F6"/>
    <w:rsid w:val="0068201E"/>
    <w:rsid w:val="0068226B"/>
    <w:rsid w:val="00682318"/>
    <w:rsid w:val="006824E8"/>
    <w:rsid w:val="006825B2"/>
    <w:rsid w:val="00682A4A"/>
    <w:rsid w:val="00682ED3"/>
    <w:rsid w:val="0068367C"/>
    <w:rsid w:val="00683A51"/>
    <w:rsid w:val="00683D7F"/>
    <w:rsid w:val="00683EF3"/>
    <w:rsid w:val="006841AA"/>
    <w:rsid w:val="00684258"/>
    <w:rsid w:val="00684629"/>
    <w:rsid w:val="00684901"/>
    <w:rsid w:val="00684BD0"/>
    <w:rsid w:val="00684E4C"/>
    <w:rsid w:val="00684E59"/>
    <w:rsid w:val="00684E71"/>
    <w:rsid w:val="0068500F"/>
    <w:rsid w:val="00685211"/>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DF"/>
    <w:rsid w:val="0068797B"/>
    <w:rsid w:val="00690447"/>
    <w:rsid w:val="00690640"/>
    <w:rsid w:val="0069064D"/>
    <w:rsid w:val="00690769"/>
    <w:rsid w:val="00690D12"/>
    <w:rsid w:val="00690F0E"/>
    <w:rsid w:val="00691278"/>
    <w:rsid w:val="00691357"/>
    <w:rsid w:val="00691495"/>
    <w:rsid w:val="006917E9"/>
    <w:rsid w:val="0069181C"/>
    <w:rsid w:val="006918F9"/>
    <w:rsid w:val="006919C5"/>
    <w:rsid w:val="00691D23"/>
    <w:rsid w:val="00691D43"/>
    <w:rsid w:val="00692521"/>
    <w:rsid w:val="00692602"/>
    <w:rsid w:val="00692799"/>
    <w:rsid w:val="006927F0"/>
    <w:rsid w:val="00692979"/>
    <w:rsid w:val="00692A0D"/>
    <w:rsid w:val="0069300D"/>
    <w:rsid w:val="00693077"/>
    <w:rsid w:val="006931B4"/>
    <w:rsid w:val="00693295"/>
    <w:rsid w:val="006935FA"/>
    <w:rsid w:val="00693CA1"/>
    <w:rsid w:val="006943ED"/>
    <w:rsid w:val="0069447C"/>
    <w:rsid w:val="00694508"/>
    <w:rsid w:val="006945C6"/>
    <w:rsid w:val="006949AD"/>
    <w:rsid w:val="00694A09"/>
    <w:rsid w:val="00694D26"/>
    <w:rsid w:val="00694F49"/>
    <w:rsid w:val="006954FA"/>
    <w:rsid w:val="00695D50"/>
    <w:rsid w:val="00695DC3"/>
    <w:rsid w:val="00695E95"/>
    <w:rsid w:val="00696112"/>
    <w:rsid w:val="00696244"/>
    <w:rsid w:val="00696370"/>
    <w:rsid w:val="006963FE"/>
    <w:rsid w:val="0069699B"/>
    <w:rsid w:val="006969D6"/>
    <w:rsid w:val="00696C33"/>
    <w:rsid w:val="00696D56"/>
    <w:rsid w:val="00697467"/>
    <w:rsid w:val="0069755C"/>
    <w:rsid w:val="00697623"/>
    <w:rsid w:val="006979DC"/>
    <w:rsid w:val="00697A4A"/>
    <w:rsid w:val="00697C2C"/>
    <w:rsid w:val="006A01FA"/>
    <w:rsid w:val="006A05EF"/>
    <w:rsid w:val="006A0872"/>
    <w:rsid w:val="006A0942"/>
    <w:rsid w:val="006A0F49"/>
    <w:rsid w:val="006A12F3"/>
    <w:rsid w:val="006A140F"/>
    <w:rsid w:val="006A152A"/>
    <w:rsid w:val="006A18CF"/>
    <w:rsid w:val="006A18DD"/>
    <w:rsid w:val="006A1B7F"/>
    <w:rsid w:val="006A1B9E"/>
    <w:rsid w:val="006A1C81"/>
    <w:rsid w:val="006A1ECB"/>
    <w:rsid w:val="006A1FB3"/>
    <w:rsid w:val="006A2245"/>
    <w:rsid w:val="006A2347"/>
    <w:rsid w:val="006A24B3"/>
    <w:rsid w:val="006A2A71"/>
    <w:rsid w:val="006A2D0E"/>
    <w:rsid w:val="006A2DC5"/>
    <w:rsid w:val="006A2E66"/>
    <w:rsid w:val="006A3155"/>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02"/>
    <w:rsid w:val="006A5185"/>
    <w:rsid w:val="006A53F2"/>
    <w:rsid w:val="006A5503"/>
    <w:rsid w:val="006A5A45"/>
    <w:rsid w:val="006A5CA3"/>
    <w:rsid w:val="006A5E26"/>
    <w:rsid w:val="006A5E82"/>
    <w:rsid w:val="006A64A2"/>
    <w:rsid w:val="006A6725"/>
    <w:rsid w:val="006A6910"/>
    <w:rsid w:val="006A6B69"/>
    <w:rsid w:val="006A6CBB"/>
    <w:rsid w:val="006A70A0"/>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9"/>
    <w:rsid w:val="006B1F5F"/>
    <w:rsid w:val="006B1FA7"/>
    <w:rsid w:val="006B20F8"/>
    <w:rsid w:val="006B21E9"/>
    <w:rsid w:val="006B242D"/>
    <w:rsid w:val="006B2744"/>
    <w:rsid w:val="006B2FCB"/>
    <w:rsid w:val="006B3448"/>
    <w:rsid w:val="006B3604"/>
    <w:rsid w:val="006B393F"/>
    <w:rsid w:val="006B3E55"/>
    <w:rsid w:val="006B4095"/>
    <w:rsid w:val="006B413F"/>
    <w:rsid w:val="006B4D4E"/>
    <w:rsid w:val="006B4D9E"/>
    <w:rsid w:val="006B4F42"/>
    <w:rsid w:val="006B5CDC"/>
    <w:rsid w:val="006B6188"/>
    <w:rsid w:val="006B62F0"/>
    <w:rsid w:val="006B652C"/>
    <w:rsid w:val="006B6AD0"/>
    <w:rsid w:val="006B6BA3"/>
    <w:rsid w:val="006B6BF0"/>
    <w:rsid w:val="006B6C95"/>
    <w:rsid w:val="006B725C"/>
    <w:rsid w:val="006B7360"/>
    <w:rsid w:val="006B73FE"/>
    <w:rsid w:val="006B7850"/>
    <w:rsid w:val="006B7864"/>
    <w:rsid w:val="006B789D"/>
    <w:rsid w:val="006C03B2"/>
    <w:rsid w:val="006C06B5"/>
    <w:rsid w:val="006C09DD"/>
    <w:rsid w:val="006C0A1A"/>
    <w:rsid w:val="006C1B3F"/>
    <w:rsid w:val="006C1D9E"/>
    <w:rsid w:val="006C20C0"/>
    <w:rsid w:val="006C2A01"/>
    <w:rsid w:val="006C2F89"/>
    <w:rsid w:val="006C342B"/>
    <w:rsid w:val="006C375B"/>
    <w:rsid w:val="006C377A"/>
    <w:rsid w:val="006C378E"/>
    <w:rsid w:val="006C3BBA"/>
    <w:rsid w:val="006C3DA1"/>
    <w:rsid w:val="006C3F40"/>
    <w:rsid w:val="006C43E9"/>
    <w:rsid w:val="006C44D3"/>
    <w:rsid w:val="006C45C1"/>
    <w:rsid w:val="006C46B2"/>
    <w:rsid w:val="006C4B0F"/>
    <w:rsid w:val="006C4B11"/>
    <w:rsid w:val="006C4BA2"/>
    <w:rsid w:val="006C4C15"/>
    <w:rsid w:val="006C4D69"/>
    <w:rsid w:val="006C4F9D"/>
    <w:rsid w:val="006C50C3"/>
    <w:rsid w:val="006C5215"/>
    <w:rsid w:val="006C5389"/>
    <w:rsid w:val="006C566C"/>
    <w:rsid w:val="006C57EC"/>
    <w:rsid w:val="006C5A4C"/>
    <w:rsid w:val="006C5B7C"/>
    <w:rsid w:val="006C5C20"/>
    <w:rsid w:val="006C5FF1"/>
    <w:rsid w:val="006C609C"/>
    <w:rsid w:val="006C612E"/>
    <w:rsid w:val="006C61C2"/>
    <w:rsid w:val="006C6287"/>
    <w:rsid w:val="006C677C"/>
    <w:rsid w:val="006C698F"/>
    <w:rsid w:val="006C6E92"/>
    <w:rsid w:val="006C7412"/>
    <w:rsid w:val="006C74EF"/>
    <w:rsid w:val="006C75C9"/>
    <w:rsid w:val="006C7B73"/>
    <w:rsid w:val="006C7D08"/>
    <w:rsid w:val="006D0233"/>
    <w:rsid w:val="006D03CD"/>
    <w:rsid w:val="006D0571"/>
    <w:rsid w:val="006D0A70"/>
    <w:rsid w:val="006D0AD9"/>
    <w:rsid w:val="006D0DED"/>
    <w:rsid w:val="006D0E17"/>
    <w:rsid w:val="006D1016"/>
    <w:rsid w:val="006D164F"/>
    <w:rsid w:val="006D1925"/>
    <w:rsid w:val="006D19ED"/>
    <w:rsid w:val="006D1A23"/>
    <w:rsid w:val="006D1B2E"/>
    <w:rsid w:val="006D1F1A"/>
    <w:rsid w:val="006D1F65"/>
    <w:rsid w:val="006D21FF"/>
    <w:rsid w:val="006D2440"/>
    <w:rsid w:val="006D2627"/>
    <w:rsid w:val="006D31AF"/>
    <w:rsid w:val="006D31DD"/>
    <w:rsid w:val="006D3C21"/>
    <w:rsid w:val="006D3C96"/>
    <w:rsid w:val="006D4157"/>
    <w:rsid w:val="006D41AF"/>
    <w:rsid w:val="006D4222"/>
    <w:rsid w:val="006D43BD"/>
    <w:rsid w:val="006D47AB"/>
    <w:rsid w:val="006D4825"/>
    <w:rsid w:val="006D492A"/>
    <w:rsid w:val="006D493C"/>
    <w:rsid w:val="006D4ED6"/>
    <w:rsid w:val="006D4F72"/>
    <w:rsid w:val="006D5732"/>
    <w:rsid w:val="006D58A9"/>
    <w:rsid w:val="006D59BF"/>
    <w:rsid w:val="006D5A31"/>
    <w:rsid w:val="006D5AE7"/>
    <w:rsid w:val="006D5B2C"/>
    <w:rsid w:val="006D5EC2"/>
    <w:rsid w:val="006D5F3F"/>
    <w:rsid w:val="006D5FEF"/>
    <w:rsid w:val="006D615D"/>
    <w:rsid w:val="006D63DD"/>
    <w:rsid w:val="006D65E2"/>
    <w:rsid w:val="006D6C92"/>
    <w:rsid w:val="006D6CAB"/>
    <w:rsid w:val="006D6D22"/>
    <w:rsid w:val="006D70D3"/>
    <w:rsid w:val="006D73E2"/>
    <w:rsid w:val="006D7598"/>
    <w:rsid w:val="006D7A7D"/>
    <w:rsid w:val="006D7B93"/>
    <w:rsid w:val="006D7DAD"/>
    <w:rsid w:val="006E0235"/>
    <w:rsid w:val="006E0887"/>
    <w:rsid w:val="006E0B09"/>
    <w:rsid w:val="006E0B16"/>
    <w:rsid w:val="006E0E60"/>
    <w:rsid w:val="006E0ED0"/>
    <w:rsid w:val="006E0F36"/>
    <w:rsid w:val="006E11F4"/>
    <w:rsid w:val="006E13EF"/>
    <w:rsid w:val="006E176F"/>
    <w:rsid w:val="006E1794"/>
    <w:rsid w:val="006E18B6"/>
    <w:rsid w:val="006E1EE9"/>
    <w:rsid w:val="006E2116"/>
    <w:rsid w:val="006E22CC"/>
    <w:rsid w:val="006E260B"/>
    <w:rsid w:val="006E26A3"/>
    <w:rsid w:val="006E28BF"/>
    <w:rsid w:val="006E2AA6"/>
    <w:rsid w:val="006E2EFA"/>
    <w:rsid w:val="006E327B"/>
    <w:rsid w:val="006E335A"/>
    <w:rsid w:val="006E3D3A"/>
    <w:rsid w:val="006E4043"/>
    <w:rsid w:val="006E4469"/>
    <w:rsid w:val="006E459B"/>
    <w:rsid w:val="006E4EC2"/>
    <w:rsid w:val="006E512D"/>
    <w:rsid w:val="006E5151"/>
    <w:rsid w:val="006E51DD"/>
    <w:rsid w:val="006E54EC"/>
    <w:rsid w:val="006E554E"/>
    <w:rsid w:val="006E55EB"/>
    <w:rsid w:val="006E5DC8"/>
    <w:rsid w:val="006E5E4D"/>
    <w:rsid w:val="006E5F99"/>
    <w:rsid w:val="006E61E2"/>
    <w:rsid w:val="006E63EA"/>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64"/>
    <w:rsid w:val="006E7F71"/>
    <w:rsid w:val="006F029D"/>
    <w:rsid w:val="006F043E"/>
    <w:rsid w:val="006F05C2"/>
    <w:rsid w:val="006F0684"/>
    <w:rsid w:val="006F090B"/>
    <w:rsid w:val="006F0944"/>
    <w:rsid w:val="006F0BB8"/>
    <w:rsid w:val="006F0C12"/>
    <w:rsid w:val="006F0C5B"/>
    <w:rsid w:val="006F0D22"/>
    <w:rsid w:val="006F0EB1"/>
    <w:rsid w:val="006F1008"/>
    <w:rsid w:val="006F1364"/>
    <w:rsid w:val="006F15AB"/>
    <w:rsid w:val="006F1D86"/>
    <w:rsid w:val="006F1F7C"/>
    <w:rsid w:val="006F20EB"/>
    <w:rsid w:val="006F2165"/>
    <w:rsid w:val="006F22CB"/>
    <w:rsid w:val="006F250A"/>
    <w:rsid w:val="006F291E"/>
    <w:rsid w:val="006F2E21"/>
    <w:rsid w:val="006F3052"/>
    <w:rsid w:val="006F314D"/>
    <w:rsid w:val="006F3329"/>
    <w:rsid w:val="006F3738"/>
    <w:rsid w:val="006F3B01"/>
    <w:rsid w:val="006F3BDF"/>
    <w:rsid w:val="006F3E14"/>
    <w:rsid w:val="006F4072"/>
    <w:rsid w:val="006F407D"/>
    <w:rsid w:val="006F4189"/>
    <w:rsid w:val="006F4523"/>
    <w:rsid w:val="006F4862"/>
    <w:rsid w:val="006F4A19"/>
    <w:rsid w:val="006F4B88"/>
    <w:rsid w:val="006F4C7E"/>
    <w:rsid w:val="006F4D51"/>
    <w:rsid w:val="006F4D57"/>
    <w:rsid w:val="006F50E3"/>
    <w:rsid w:val="006F557B"/>
    <w:rsid w:val="006F5B41"/>
    <w:rsid w:val="006F5BBC"/>
    <w:rsid w:val="006F5CAB"/>
    <w:rsid w:val="006F64F6"/>
    <w:rsid w:val="006F6689"/>
    <w:rsid w:val="006F6740"/>
    <w:rsid w:val="006F6D83"/>
    <w:rsid w:val="006F6EAB"/>
    <w:rsid w:val="006F70E5"/>
    <w:rsid w:val="006F746D"/>
    <w:rsid w:val="006F74D6"/>
    <w:rsid w:val="006F7577"/>
    <w:rsid w:val="006F77CE"/>
    <w:rsid w:val="006F7A92"/>
    <w:rsid w:val="006F7C53"/>
    <w:rsid w:val="006F7E42"/>
    <w:rsid w:val="00700042"/>
    <w:rsid w:val="0070023A"/>
    <w:rsid w:val="00701493"/>
    <w:rsid w:val="0070170C"/>
    <w:rsid w:val="007017EA"/>
    <w:rsid w:val="0070181F"/>
    <w:rsid w:val="0070193E"/>
    <w:rsid w:val="007019D2"/>
    <w:rsid w:val="00701B27"/>
    <w:rsid w:val="00701C12"/>
    <w:rsid w:val="0070286C"/>
    <w:rsid w:val="0070294F"/>
    <w:rsid w:val="00702BA8"/>
    <w:rsid w:val="00702BFC"/>
    <w:rsid w:val="00702DFC"/>
    <w:rsid w:val="00702E95"/>
    <w:rsid w:val="00703025"/>
    <w:rsid w:val="00703112"/>
    <w:rsid w:val="007034BC"/>
    <w:rsid w:val="007035F6"/>
    <w:rsid w:val="007036E5"/>
    <w:rsid w:val="007038D5"/>
    <w:rsid w:val="00703DCA"/>
    <w:rsid w:val="0070428A"/>
    <w:rsid w:val="00704692"/>
    <w:rsid w:val="007047A7"/>
    <w:rsid w:val="007048DD"/>
    <w:rsid w:val="007049F7"/>
    <w:rsid w:val="00704A0A"/>
    <w:rsid w:val="00704A33"/>
    <w:rsid w:val="00704C52"/>
    <w:rsid w:val="00704DEB"/>
    <w:rsid w:val="007052F3"/>
    <w:rsid w:val="00705584"/>
    <w:rsid w:val="00705617"/>
    <w:rsid w:val="0070576A"/>
    <w:rsid w:val="00705E96"/>
    <w:rsid w:val="00706276"/>
    <w:rsid w:val="00706A87"/>
    <w:rsid w:val="00706DFB"/>
    <w:rsid w:val="00706E08"/>
    <w:rsid w:val="0070711F"/>
    <w:rsid w:val="0070743B"/>
    <w:rsid w:val="0070774F"/>
    <w:rsid w:val="00707AE0"/>
    <w:rsid w:val="00707CFF"/>
    <w:rsid w:val="00707E53"/>
    <w:rsid w:val="007101EE"/>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1E7"/>
    <w:rsid w:val="0071279C"/>
    <w:rsid w:val="00712A0F"/>
    <w:rsid w:val="00712C38"/>
    <w:rsid w:val="00712FDB"/>
    <w:rsid w:val="007132F3"/>
    <w:rsid w:val="007136D4"/>
    <w:rsid w:val="0071374D"/>
    <w:rsid w:val="007137F8"/>
    <w:rsid w:val="00713A63"/>
    <w:rsid w:val="00713B48"/>
    <w:rsid w:val="00713CA2"/>
    <w:rsid w:val="00713FFB"/>
    <w:rsid w:val="00714312"/>
    <w:rsid w:val="00714596"/>
    <w:rsid w:val="00714722"/>
    <w:rsid w:val="0071497F"/>
    <w:rsid w:val="00714D6A"/>
    <w:rsid w:val="007152C7"/>
    <w:rsid w:val="007153E3"/>
    <w:rsid w:val="007157B4"/>
    <w:rsid w:val="00715DBD"/>
    <w:rsid w:val="00715E27"/>
    <w:rsid w:val="00715F49"/>
    <w:rsid w:val="00715F9D"/>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4DF"/>
    <w:rsid w:val="007215A9"/>
    <w:rsid w:val="007218A9"/>
    <w:rsid w:val="0072190B"/>
    <w:rsid w:val="007219ED"/>
    <w:rsid w:val="00721E1D"/>
    <w:rsid w:val="007221F1"/>
    <w:rsid w:val="007223FD"/>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5068"/>
    <w:rsid w:val="007250C0"/>
    <w:rsid w:val="0072518E"/>
    <w:rsid w:val="00725261"/>
    <w:rsid w:val="007254A9"/>
    <w:rsid w:val="007254B1"/>
    <w:rsid w:val="0072560E"/>
    <w:rsid w:val="007259B8"/>
    <w:rsid w:val="00725C93"/>
    <w:rsid w:val="00725CB6"/>
    <w:rsid w:val="00725D75"/>
    <w:rsid w:val="0072602E"/>
    <w:rsid w:val="00726281"/>
    <w:rsid w:val="007264AA"/>
    <w:rsid w:val="00726564"/>
    <w:rsid w:val="0072665F"/>
    <w:rsid w:val="00726661"/>
    <w:rsid w:val="00726BC9"/>
    <w:rsid w:val="00727E9F"/>
    <w:rsid w:val="00730302"/>
    <w:rsid w:val="00730508"/>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405A"/>
    <w:rsid w:val="007344BB"/>
    <w:rsid w:val="007344DD"/>
    <w:rsid w:val="0073497A"/>
    <w:rsid w:val="00734D5C"/>
    <w:rsid w:val="00734EF7"/>
    <w:rsid w:val="007356D0"/>
    <w:rsid w:val="00735D07"/>
    <w:rsid w:val="00735DD5"/>
    <w:rsid w:val="00735DF8"/>
    <w:rsid w:val="0073637C"/>
    <w:rsid w:val="007365F7"/>
    <w:rsid w:val="00736786"/>
    <w:rsid w:val="00736801"/>
    <w:rsid w:val="00736D7B"/>
    <w:rsid w:val="007377ED"/>
    <w:rsid w:val="007379C8"/>
    <w:rsid w:val="00737AB1"/>
    <w:rsid w:val="0074043D"/>
    <w:rsid w:val="00740698"/>
    <w:rsid w:val="007406C0"/>
    <w:rsid w:val="00740829"/>
    <w:rsid w:val="0074082E"/>
    <w:rsid w:val="007409E8"/>
    <w:rsid w:val="00740AC1"/>
    <w:rsid w:val="00740CD3"/>
    <w:rsid w:val="00741013"/>
    <w:rsid w:val="0074108B"/>
    <w:rsid w:val="007419FC"/>
    <w:rsid w:val="00741F87"/>
    <w:rsid w:val="007420C9"/>
    <w:rsid w:val="0074221A"/>
    <w:rsid w:val="00742235"/>
    <w:rsid w:val="007422B2"/>
    <w:rsid w:val="007422C1"/>
    <w:rsid w:val="00742695"/>
    <w:rsid w:val="007429AB"/>
    <w:rsid w:val="00742A51"/>
    <w:rsid w:val="00742BFB"/>
    <w:rsid w:val="00742EC0"/>
    <w:rsid w:val="007431F6"/>
    <w:rsid w:val="00743281"/>
    <w:rsid w:val="0074336F"/>
    <w:rsid w:val="00743757"/>
    <w:rsid w:val="00743867"/>
    <w:rsid w:val="00744055"/>
    <w:rsid w:val="0074493B"/>
    <w:rsid w:val="00744FB1"/>
    <w:rsid w:val="007452FC"/>
    <w:rsid w:val="0074576E"/>
    <w:rsid w:val="00745A78"/>
    <w:rsid w:val="00745EBB"/>
    <w:rsid w:val="0074603B"/>
    <w:rsid w:val="00746131"/>
    <w:rsid w:val="00746167"/>
    <w:rsid w:val="00746199"/>
    <w:rsid w:val="00746310"/>
    <w:rsid w:val="0074644A"/>
    <w:rsid w:val="00746C95"/>
    <w:rsid w:val="00746CA2"/>
    <w:rsid w:val="00747017"/>
    <w:rsid w:val="00747287"/>
    <w:rsid w:val="00747446"/>
    <w:rsid w:val="0074773B"/>
    <w:rsid w:val="00747A25"/>
    <w:rsid w:val="00747BD8"/>
    <w:rsid w:val="00747E09"/>
    <w:rsid w:val="00747F05"/>
    <w:rsid w:val="00747FE3"/>
    <w:rsid w:val="0075038A"/>
    <w:rsid w:val="007503C0"/>
    <w:rsid w:val="00750598"/>
    <w:rsid w:val="00750771"/>
    <w:rsid w:val="00750848"/>
    <w:rsid w:val="007509F9"/>
    <w:rsid w:val="00750B10"/>
    <w:rsid w:val="00750C1D"/>
    <w:rsid w:val="007513B7"/>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A8F"/>
    <w:rsid w:val="00754D64"/>
    <w:rsid w:val="00754EBE"/>
    <w:rsid w:val="007553D4"/>
    <w:rsid w:val="007556A5"/>
    <w:rsid w:val="00755B06"/>
    <w:rsid w:val="00755B24"/>
    <w:rsid w:val="00755D41"/>
    <w:rsid w:val="00755E06"/>
    <w:rsid w:val="00755E20"/>
    <w:rsid w:val="0075639D"/>
    <w:rsid w:val="007564B4"/>
    <w:rsid w:val="007565E2"/>
    <w:rsid w:val="00756B3A"/>
    <w:rsid w:val="007570A3"/>
    <w:rsid w:val="007570CD"/>
    <w:rsid w:val="007572E9"/>
    <w:rsid w:val="00757495"/>
    <w:rsid w:val="0075750D"/>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4B4"/>
    <w:rsid w:val="00761520"/>
    <w:rsid w:val="00761735"/>
    <w:rsid w:val="007619FB"/>
    <w:rsid w:val="00761FB0"/>
    <w:rsid w:val="0076200C"/>
    <w:rsid w:val="007624B0"/>
    <w:rsid w:val="007624B9"/>
    <w:rsid w:val="007624E7"/>
    <w:rsid w:val="007628A3"/>
    <w:rsid w:val="00762924"/>
    <w:rsid w:val="0076295C"/>
    <w:rsid w:val="007629AD"/>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BF"/>
    <w:rsid w:val="0076598E"/>
    <w:rsid w:val="00765A64"/>
    <w:rsid w:val="00765FDC"/>
    <w:rsid w:val="00766054"/>
    <w:rsid w:val="007664E8"/>
    <w:rsid w:val="00766559"/>
    <w:rsid w:val="007667D5"/>
    <w:rsid w:val="00766B0E"/>
    <w:rsid w:val="00766BFB"/>
    <w:rsid w:val="00766DFE"/>
    <w:rsid w:val="00766E27"/>
    <w:rsid w:val="00766FB2"/>
    <w:rsid w:val="0076731C"/>
    <w:rsid w:val="00767416"/>
    <w:rsid w:val="0076747C"/>
    <w:rsid w:val="0076781B"/>
    <w:rsid w:val="007678B6"/>
    <w:rsid w:val="007706CC"/>
    <w:rsid w:val="0077099A"/>
    <w:rsid w:val="00770CEE"/>
    <w:rsid w:val="00770D9A"/>
    <w:rsid w:val="00770FE1"/>
    <w:rsid w:val="00771088"/>
    <w:rsid w:val="007710C8"/>
    <w:rsid w:val="00771284"/>
    <w:rsid w:val="007718CC"/>
    <w:rsid w:val="007719B6"/>
    <w:rsid w:val="007719DC"/>
    <w:rsid w:val="00771CA9"/>
    <w:rsid w:val="00771CD5"/>
    <w:rsid w:val="00772137"/>
    <w:rsid w:val="007721AD"/>
    <w:rsid w:val="0077229F"/>
    <w:rsid w:val="00772C97"/>
    <w:rsid w:val="00772D15"/>
    <w:rsid w:val="00772DC3"/>
    <w:rsid w:val="00772FA1"/>
    <w:rsid w:val="00773385"/>
    <w:rsid w:val="007733C4"/>
    <w:rsid w:val="00773ABA"/>
    <w:rsid w:val="0077427B"/>
    <w:rsid w:val="007743A1"/>
    <w:rsid w:val="007744EF"/>
    <w:rsid w:val="00774836"/>
    <w:rsid w:val="0077488F"/>
    <w:rsid w:val="00774CAF"/>
    <w:rsid w:val="0077506E"/>
    <w:rsid w:val="007750DC"/>
    <w:rsid w:val="00775139"/>
    <w:rsid w:val="00775330"/>
    <w:rsid w:val="00775BAA"/>
    <w:rsid w:val="00775D0E"/>
    <w:rsid w:val="00775D77"/>
    <w:rsid w:val="00775EFD"/>
    <w:rsid w:val="00775F11"/>
    <w:rsid w:val="007760CB"/>
    <w:rsid w:val="007762CD"/>
    <w:rsid w:val="007768F2"/>
    <w:rsid w:val="00776C25"/>
    <w:rsid w:val="00776D61"/>
    <w:rsid w:val="00776E9E"/>
    <w:rsid w:val="00777053"/>
    <w:rsid w:val="007775EB"/>
    <w:rsid w:val="007777AF"/>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73C"/>
    <w:rsid w:val="0078181E"/>
    <w:rsid w:val="00781B9A"/>
    <w:rsid w:val="00781C3B"/>
    <w:rsid w:val="00781DAD"/>
    <w:rsid w:val="00781E6F"/>
    <w:rsid w:val="00782266"/>
    <w:rsid w:val="007822AF"/>
    <w:rsid w:val="0078243D"/>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61D1"/>
    <w:rsid w:val="00786272"/>
    <w:rsid w:val="007864B2"/>
    <w:rsid w:val="00786620"/>
    <w:rsid w:val="007868B7"/>
    <w:rsid w:val="00786BA2"/>
    <w:rsid w:val="00786BC0"/>
    <w:rsid w:val="00787031"/>
    <w:rsid w:val="007871F2"/>
    <w:rsid w:val="0078743F"/>
    <w:rsid w:val="0078756D"/>
    <w:rsid w:val="00787736"/>
    <w:rsid w:val="007878F1"/>
    <w:rsid w:val="00787977"/>
    <w:rsid w:val="00787A55"/>
    <w:rsid w:val="00787FF1"/>
    <w:rsid w:val="007901FA"/>
    <w:rsid w:val="0079051B"/>
    <w:rsid w:val="00790660"/>
    <w:rsid w:val="007907D5"/>
    <w:rsid w:val="00791096"/>
    <w:rsid w:val="0079163D"/>
    <w:rsid w:val="007916D2"/>
    <w:rsid w:val="00791ADE"/>
    <w:rsid w:val="00791BEA"/>
    <w:rsid w:val="00791E6D"/>
    <w:rsid w:val="00791FE2"/>
    <w:rsid w:val="007920D4"/>
    <w:rsid w:val="00792367"/>
    <w:rsid w:val="007926B7"/>
    <w:rsid w:val="00792907"/>
    <w:rsid w:val="00792DB2"/>
    <w:rsid w:val="00792E6F"/>
    <w:rsid w:val="00792ECC"/>
    <w:rsid w:val="00792F7F"/>
    <w:rsid w:val="00792FCC"/>
    <w:rsid w:val="00793677"/>
    <w:rsid w:val="007937FA"/>
    <w:rsid w:val="00793920"/>
    <w:rsid w:val="007939C7"/>
    <w:rsid w:val="007939E5"/>
    <w:rsid w:val="00793F70"/>
    <w:rsid w:val="007941E9"/>
    <w:rsid w:val="007943D6"/>
    <w:rsid w:val="007945C6"/>
    <w:rsid w:val="00794630"/>
    <w:rsid w:val="007947FB"/>
    <w:rsid w:val="00795061"/>
    <w:rsid w:val="007953DC"/>
    <w:rsid w:val="0079541B"/>
    <w:rsid w:val="007954AC"/>
    <w:rsid w:val="007955F5"/>
    <w:rsid w:val="00795B21"/>
    <w:rsid w:val="0079601B"/>
    <w:rsid w:val="007962E1"/>
    <w:rsid w:val="0079663F"/>
    <w:rsid w:val="007968C9"/>
    <w:rsid w:val="00796F91"/>
    <w:rsid w:val="0079701D"/>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18D"/>
    <w:rsid w:val="007A4264"/>
    <w:rsid w:val="007A4323"/>
    <w:rsid w:val="007A43F5"/>
    <w:rsid w:val="007A460F"/>
    <w:rsid w:val="007A4644"/>
    <w:rsid w:val="007A46CF"/>
    <w:rsid w:val="007A48EA"/>
    <w:rsid w:val="007A4A07"/>
    <w:rsid w:val="007A4AF1"/>
    <w:rsid w:val="007A4B1D"/>
    <w:rsid w:val="007A4BFA"/>
    <w:rsid w:val="007A4D6B"/>
    <w:rsid w:val="007A5288"/>
    <w:rsid w:val="007A53CD"/>
    <w:rsid w:val="007A5874"/>
    <w:rsid w:val="007A5982"/>
    <w:rsid w:val="007A5C85"/>
    <w:rsid w:val="007A5D0F"/>
    <w:rsid w:val="007A5F69"/>
    <w:rsid w:val="007A618D"/>
    <w:rsid w:val="007A6333"/>
    <w:rsid w:val="007A6477"/>
    <w:rsid w:val="007A6622"/>
    <w:rsid w:val="007A6909"/>
    <w:rsid w:val="007A6AF1"/>
    <w:rsid w:val="007A6DE7"/>
    <w:rsid w:val="007A75A3"/>
    <w:rsid w:val="007A79B3"/>
    <w:rsid w:val="007A7A14"/>
    <w:rsid w:val="007A7FF2"/>
    <w:rsid w:val="007B020E"/>
    <w:rsid w:val="007B0253"/>
    <w:rsid w:val="007B040B"/>
    <w:rsid w:val="007B0467"/>
    <w:rsid w:val="007B073B"/>
    <w:rsid w:val="007B083D"/>
    <w:rsid w:val="007B0865"/>
    <w:rsid w:val="007B08EA"/>
    <w:rsid w:val="007B09ED"/>
    <w:rsid w:val="007B0B92"/>
    <w:rsid w:val="007B0C4B"/>
    <w:rsid w:val="007B1061"/>
    <w:rsid w:val="007B14A8"/>
    <w:rsid w:val="007B1C2D"/>
    <w:rsid w:val="007B1F9A"/>
    <w:rsid w:val="007B21A9"/>
    <w:rsid w:val="007B2638"/>
    <w:rsid w:val="007B26A6"/>
    <w:rsid w:val="007B29A4"/>
    <w:rsid w:val="007B2B43"/>
    <w:rsid w:val="007B314C"/>
    <w:rsid w:val="007B322B"/>
    <w:rsid w:val="007B3476"/>
    <w:rsid w:val="007B362A"/>
    <w:rsid w:val="007B3878"/>
    <w:rsid w:val="007B3BF0"/>
    <w:rsid w:val="007B3D12"/>
    <w:rsid w:val="007B3D55"/>
    <w:rsid w:val="007B40AD"/>
    <w:rsid w:val="007B448A"/>
    <w:rsid w:val="007B44DC"/>
    <w:rsid w:val="007B4533"/>
    <w:rsid w:val="007B4543"/>
    <w:rsid w:val="007B47FB"/>
    <w:rsid w:val="007B484D"/>
    <w:rsid w:val="007B4866"/>
    <w:rsid w:val="007B4937"/>
    <w:rsid w:val="007B52F6"/>
    <w:rsid w:val="007B5A66"/>
    <w:rsid w:val="007B5E5F"/>
    <w:rsid w:val="007B5FFA"/>
    <w:rsid w:val="007B60AA"/>
    <w:rsid w:val="007B614B"/>
    <w:rsid w:val="007B630D"/>
    <w:rsid w:val="007B6558"/>
    <w:rsid w:val="007B697F"/>
    <w:rsid w:val="007B7558"/>
    <w:rsid w:val="007B7618"/>
    <w:rsid w:val="007B766F"/>
    <w:rsid w:val="007C00FF"/>
    <w:rsid w:val="007C0259"/>
    <w:rsid w:val="007C0880"/>
    <w:rsid w:val="007C0BD2"/>
    <w:rsid w:val="007C0C9B"/>
    <w:rsid w:val="007C0DBA"/>
    <w:rsid w:val="007C0F3A"/>
    <w:rsid w:val="007C1065"/>
    <w:rsid w:val="007C124A"/>
    <w:rsid w:val="007C1357"/>
    <w:rsid w:val="007C140F"/>
    <w:rsid w:val="007C1489"/>
    <w:rsid w:val="007C1537"/>
    <w:rsid w:val="007C16D7"/>
    <w:rsid w:val="007C19A0"/>
    <w:rsid w:val="007C1B94"/>
    <w:rsid w:val="007C20F7"/>
    <w:rsid w:val="007C286E"/>
    <w:rsid w:val="007C2A39"/>
    <w:rsid w:val="007C2C7F"/>
    <w:rsid w:val="007C3767"/>
    <w:rsid w:val="007C3807"/>
    <w:rsid w:val="007C381C"/>
    <w:rsid w:val="007C3D88"/>
    <w:rsid w:val="007C3EA6"/>
    <w:rsid w:val="007C3F14"/>
    <w:rsid w:val="007C46E8"/>
    <w:rsid w:val="007C4770"/>
    <w:rsid w:val="007C4848"/>
    <w:rsid w:val="007C49C4"/>
    <w:rsid w:val="007C4FBA"/>
    <w:rsid w:val="007C508D"/>
    <w:rsid w:val="007C5153"/>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009"/>
    <w:rsid w:val="007C7215"/>
    <w:rsid w:val="007C7A3E"/>
    <w:rsid w:val="007C7C7A"/>
    <w:rsid w:val="007C7EA2"/>
    <w:rsid w:val="007C7EF3"/>
    <w:rsid w:val="007D020B"/>
    <w:rsid w:val="007D0677"/>
    <w:rsid w:val="007D0779"/>
    <w:rsid w:val="007D096E"/>
    <w:rsid w:val="007D098C"/>
    <w:rsid w:val="007D11B6"/>
    <w:rsid w:val="007D149C"/>
    <w:rsid w:val="007D1523"/>
    <w:rsid w:val="007D1558"/>
    <w:rsid w:val="007D17F8"/>
    <w:rsid w:val="007D1B7C"/>
    <w:rsid w:val="007D1E28"/>
    <w:rsid w:val="007D2022"/>
    <w:rsid w:val="007D214A"/>
    <w:rsid w:val="007D2306"/>
    <w:rsid w:val="007D2628"/>
    <w:rsid w:val="007D2EFD"/>
    <w:rsid w:val="007D357E"/>
    <w:rsid w:val="007D3889"/>
    <w:rsid w:val="007D39A2"/>
    <w:rsid w:val="007D39D7"/>
    <w:rsid w:val="007D3E22"/>
    <w:rsid w:val="007D3F34"/>
    <w:rsid w:val="007D4422"/>
    <w:rsid w:val="007D4591"/>
    <w:rsid w:val="007D464F"/>
    <w:rsid w:val="007D47E5"/>
    <w:rsid w:val="007D4FF2"/>
    <w:rsid w:val="007D512C"/>
    <w:rsid w:val="007D526F"/>
    <w:rsid w:val="007D54C0"/>
    <w:rsid w:val="007D59D5"/>
    <w:rsid w:val="007D5AB1"/>
    <w:rsid w:val="007D5CEA"/>
    <w:rsid w:val="007D5F7C"/>
    <w:rsid w:val="007D6115"/>
    <w:rsid w:val="007D6310"/>
    <w:rsid w:val="007D647B"/>
    <w:rsid w:val="007D657C"/>
    <w:rsid w:val="007D673F"/>
    <w:rsid w:val="007D68F4"/>
    <w:rsid w:val="007D68FD"/>
    <w:rsid w:val="007D6AFB"/>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62"/>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0A"/>
    <w:rsid w:val="007E5FFD"/>
    <w:rsid w:val="007E6161"/>
    <w:rsid w:val="007E65F9"/>
    <w:rsid w:val="007E666B"/>
    <w:rsid w:val="007E6735"/>
    <w:rsid w:val="007E67F4"/>
    <w:rsid w:val="007E6EF1"/>
    <w:rsid w:val="007E70F6"/>
    <w:rsid w:val="007E71F7"/>
    <w:rsid w:val="007E7749"/>
    <w:rsid w:val="007E7B2B"/>
    <w:rsid w:val="007E7CBA"/>
    <w:rsid w:val="007E7E7F"/>
    <w:rsid w:val="007F0214"/>
    <w:rsid w:val="007F041A"/>
    <w:rsid w:val="007F05E0"/>
    <w:rsid w:val="007F06C4"/>
    <w:rsid w:val="007F071A"/>
    <w:rsid w:val="007F07E7"/>
    <w:rsid w:val="007F0B77"/>
    <w:rsid w:val="007F0DD3"/>
    <w:rsid w:val="007F14D7"/>
    <w:rsid w:val="007F1888"/>
    <w:rsid w:val="007F18C0"/>
    <w:rsid w:val="007F18F0"/>
    <w:rsid w:val="007F1B81"/>
    <w:rsid w:val="007F1E6C"/>
    <w:rsid w:val="007F1F12"/>
    <w:rsid w:val="007F22A5"/>
    <w:rsid w:val="007F2688"/>
    <w:rsid w:val="007F27FC"/>
    <w:rsid w:val="007F283B"/>
    <w:rsid w:val="007F2DBB"/>
    <w:rsid w:val="007F2ED4"/>
    <w:rsid w:val="007F3564"/>
    <w:rsid w:val="007F3599"/>
    <w:rsid w:val="007F35B3"/>
    <w:rsid w:val="007F3A09"/>
    <w:rsid w:val="007F3C69"/>
    <w:rsid w:val="007F3DE3"/>
    <w:rsid w:val="007F3FB0"/>
    <w:rsid w:val="007F43A9"/>
    <w:rsid w:val="007F4D54"/>
    <w:rsid w:val="007F4F0C"/>
    <w:rsid w:val="007F53C1"/>
    <w:rsid w:val="007F556C"/>
    <w:rsid w:val="007F5608"/>
    <w:rsid w:val="007F5874"/>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864"/>
    <w:rsid w:val="007F78F8"/>
    <w:rsid w:val="007F795B"/>
    <w:rsid w:val="007F7AF9"/>
    <w:rsid w:val="007F7B6D"/>
    <w:rsid w:val="007F7C2F"/>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1F"/>
    <w:rsid w:val="00801FBC"/>
    <w:rsid w:val="00802410"/>
    <w:rsid w:val="00802841"/>
    <w:rsid w:val="00802DE5"/>
    <w:rsid w:val="00803656"/>
    <w:rsid w:val="00803A19"/>
    <w:rsid w:val="00803AAC"/>
    <w:rsid w:val="00803E2E"/>
    <w:rsid w:val="00803FAA"/>
    <w:rsid w:val="00803FAE"/>
    <w:rsid w:val="008041E1"/>
    <w:rsid w:val="008042F3"/>
    <w:rsid w:val="00804867"/>
    <w:rsid w:val="0080487F"/>
    <w:rsid w:val="008048F5"/>
    <w:rsid w:val="00804B2F"/>
    <w:rsid w:val="00804E28"/>
    <w:rsid w:val="00804F74"/>
    <w:rsid w:val="008057DF"/>
    <w:rsid w:val="00805810"/>
    <w:rsid w:val="00805CDC"/>
    <w:rsid w:val="0080623D"/>
    <w:rsid w:val="0080638C"/>
    <w:rsid w:val="00806979"/>
    <w:rsid w:val="0080699F"/>
    <w:rsid w:val="00806BBA"/>
    <w:rsid w:val="00806D29"/>
    <w:rsid w:val="00806E4D"/>
    <w:rsid w:val="00806F88"/>
    <w:rsid w:val="00807270"/>
    <w:rsid w:val="0080729C"/>
    <w:rsid w:val="0080770D"/>
    <w:rsid w:val="008078EA"/>
    <w:rsid w:val="008078FC"/>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011"/>
    <w:rsid w:val="0081386A"/>
    <w:rsid w:val="0081389D"/>
    <w:rsid w:val="00813BE8"/>
    <w:rsid w:val="00813CE0"/>
    <w:rsid w:val="00813D21"/>
    <w:rsid w:val="00813F45"/>
    <w:rsid w:val="0081433F"/>
    <w:rsid w:val="008143A0"/>
    <w:rsid w:val="008143EB"/>
    <w:rsid w:val="00814418"/>
    <w:rsid w:val="008146CB"/>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0B"/>
    <w:rsid w:val="00816264"/>
    <w:rsid w:val="00816654"/>
    <w:rsid w:val="00816707"/>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2BB7"/>
    <w:rsid w:val="00823335"/>
    <w:rsid w:val="00823619"/>
    <w:rsid w:val="0082369C"/>
    <w:rsid w:val="008237B2"/>
    <w:rsid w:val="00823A5F"/>
    <w:rsid w:val="00823D4A"/>
    <w:rsid w:val="00823F61"/>
    <w:rsid w:val="00824460"/>
    <w:rsid w:val="0082449E"/>
    <w:rsid w:val="0082483B"/>
    <w:rsid w:val="008249FF"/>
    <w:rsid w:val="00824B13"/>
    <w:rsid w:val="008251EC"/>
    <w:rsid w:val="008252F8"/>
    <w:rsid w:val="00825855"/>
    <w:rsid w:val="00825DD4"/>
    <w:rsid w:val="00826204"/>
    <w:rsid w:val="0082636C"/>
    <w:rsid w:val="00826703"/>
    <w:rsid w:val="00826D90"/>
    <w:rsid w:val="00826E8B"/>
    <w:rsid w:val="00827015"/>
    <w:rsid w:val="00827109"/>
    <w:rsid w:val="00827213"/>
    <w:rsid w:val="00827319"/>
    <w:rsid w:val="0082733D"/>
    <w:rsid w:val="00827373"/>
    <w:rsid w:val="00827648"/>
    <w:rsid w:val="00827A41"/>
    <w:rsid w:val="00827AF3"/>
    <w:rsid w:val="00827CA7"/>
    <w:rsid w:val="0083056F"/>
    <w:rsid w:val="00830B23"/>
    <w:rsid w:val="00830F16"/>
    <w:rsid w:val="00831079"/>
    <w:rsid w:val="00831198"/>
    <w:rsid w:val="00831252"/>
    <w:rsid w:val="008314BC"/>
    <w:rsid w:val="008315A1"/>
    <w:rsid w:val="008315F1"/>
    <w:rsid w:val="00831690"/>
    <w:rsid w:val="00831AB4"/>
    <w:rsid w:val="0083213B"/>
    <w:rsid w:val="00832142"/>
    <w:rsid w:val="00832980"/>
    <w:rsid w:val="00832C18"/>
    <w:rsid w:val="00832CAF"/>
    <w:rsid w:val="00832FF7"/>
    <w:rsid w:val="0083302B"/>
    <w:rsid w:val="00833067"/>
    <w:rsid w:val="00833080"/>
    <w:rsid w:val="008330AE"/>
    <w:rsid w:val="008330DB"/>
    <w:rsid w:val="0083313C"/>
    <w:rsid w:val="00833588"/>
    <w:rsid w:val="008335F9"/>
    <w:rsid w:val="00833607"/>
    <w:rsid w:val="00833947"/>
    <w:rsid w:val="00833D45"/>
    <w:rsid w:val="00833EF5"/>
    <w:rsid w:val="00834019"/>
    <w:rsid w:val="00834034"/>
    <w:rsid w:val="0083417A"/>
    <w:rsid w:val="00834512"/>
    <w:rsid w:val="00834746"/>
    <w:rsid w:val="008349E7"/>
    <w:rsid w:val="00834B62"/>
    <w:rsid w:val="00834F4B"/>
    <w:rsid w:val="0083507A"/>
    <w:rsid w:val="008353C3"/>
    <w:rsid w:val="008358DF"/>
    <w:rsid w:val="008359D7"/>
    <w:rsid w:val="00835B0A"/>
    <w:rsid w:val="00835B82"/>
    <w:rsid w:val="00835B8A"/>
    <w:rsid w:val="00835B96"/>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7F2"/>
    <w:rsid w:val="0083787E"/>
    <w:rsid w:val="00837886"/>
    <w:rsid w:val="00840145"/>
    <w:rsid w:val="008401C3"/>
    <w:rsid w:val="00840287"/>
    <w:rsid w:val="008403BA"/>
    <w:rsid w:val="008404D7"/>
    <w:rsid w:val="008405A4"/>
    <w:rsid w:val="00840634"/>
    <w:rsid w:val="00840A5F"/>
    <w:rsid w:val="00840A68"/>
    <w:rsid w:val="00840A83"/>
    <w:rsid w:val="00840D46"/>
    <w:rsid w:val="00840EE0"/>
    <w:rsid w:val="008412EA"/>
    <w:rsid w:val="008413ED"/>
    <w:rsid w:val="00841573"/>
    <w:rsid w:val="008419A1"/>
    <w:rsid w:val="00841C73"/>
    <w:rsid w:val="00841DDC"/>
    <w:rsid w:val="00841EB3"/>
    <w:rsid w:val="00842061"/>
    <w:rsid w:val="00842DB7"/>
    <w:rsid w:val="00842FB8"/>
    <w:rsid w:val="008430CD"/>
    <w:rsid w:val="00843388"/>
    <w:rsid w:val="0084351C"/>
    <w:rsid w:val="008436D3"/>
    <w:rsid w:val="008436E0"/>
    <w:rsid w:val="00843724"/>
    <w:rsid w:val="0084387F"/>
    <w:rsid w:val="00843AFD"/>
    <w:rsid w:val="00843C4A"/>
    <w:rsid w:val="00843F54"/>
    <w:rsid w:val="00844234"/>
    <w:rsid w:val="008444F8"/>
    <w:rsid w:val="00844750"/>
    <w:rsid w:val="008449F8"/>
    <w:rsid w:val="00844F17"/>
    <w:rsid w:val="00845162"/>
    <w:rsid w:val="00845170"/>
    <w:rsid w:val="008455B6"/>
    <w:rsid w:val="00845F51"/>
    <w:rsid w:val="00845F5B"/>
    <w:rsid w:val="00845F6D"/>
    <w:rsid w:val="00846106"/>
    <w:rsid w:val="008462E7"/>
    <w:rsid w:val="00846302"/>
    <w:rsid w:val="00846467"/>
    <w:rsid w:val="00846A4C"/>
    <w:rsid w:val="008472C0"/>
    <w:rsid w:val="008472E2"/>
    <w:rsid w:val="00847991"/>
    <w:rsid w:val="00847C4E"/>
    <w:rsid w:val="00847FC8"/>
    <w:rsid w:val="00850060"/>
    <w:rsid w:val="00850174"/>
    <w:rsid w:val="008504D3"/>
    <w:rsid w:val="00850608"/>
    <w:rsid w:val="00850A70"/>
    <w:rsid w:val="00851076"/>
    <w:rsid w:val="008511B7"/>
    <w:rsid w:val="0085130C"/>
    <w:rsid w:val="008515D9"/>
    <w:rsid w:val="008519A8"/>
    <w:rsid w:val="00851B22"/>
    <w:rsid w:val="008521C5"/>
    <w:rsid w:val="00852338"/>
    <w:rsid w:val="00852999"/>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CF"/>
    <w:rsid w:val="00856E4A"/>
    <w:rsid w:val="00856FBA"/>
    <w:rsid w:val="00856FF3"/>
    <w:rsid w:val="0085722A"/>
    <w:rsid w:val="008573F3"/>
    <w:rsid w:val="008577BE"/>
    <w:rsid w:val="008577F6"/>
    <w:rsid w:val="00857925"/>
    <w:rsid w:val="00857974"/>
    <w:rsid w:val="00857C34"/>
    <w:rsid w:val="00860197"/>
    <w:rsid w:val="00860315"/>
    <w:rsid w:val="0086037F"/>
    <w:rsid w:val="008604CD"/>
    <w:rsid w:val="0086137D"/>
    <w:rsid w:val="008616F0"/>
    <w:rsid w:val="008618BB"/>
    <w:rsid w:val="00861B41"/>
    <w:rsid w:val="00861D65"/>
    <w:rsid w:val="00861DA1"/>
    <w:rsid w:val="008620C2"/>
    <w:rsid w:val="00862173"/>
    <w:rsid w:val="00862290"/>
    <w:rsid w:val="00862449"/>
    <w:rsid w:val="008626B0"/>
    <w:rsid w:val="00862859"/>
    <w:rsid w:val="00862988"/>
    <w:rsid w:val="00862D52"/>
    <w:rsid w:val="00863437"/>
    <w:rsid w:val="00863479"/>
    <w:rsid w:val="008637B4"/>
    <w:rsid w:val="00863AA0"/>
    <w:rsid w:val="00864872"/>
    <w:rsid w:val="008648C9"/>
    <w:rsid w:val="00864A9F"/>
    <w:rsid w:val="00864AAE"/>
    <w:rsid w:val="00864DD6"/>
    <w:rsid w:val="008650AB"/>
    <w:rsid w:val="008650E1"/>
    <w:rsid w:val="008654F6"/>
    <w:rsid w:val="00865696"/>
    <w:rsid w:val="008657D2"/>
    <w:rsid w:val="00865B8C"/>
    <w:rsid w:val="00865BAE"/>
    <w:rsid w:val="00865C3B"/>
    <w:rsid w:val="00865D4C"/>
    <w:rsid w:val="00865DE1"/>
    <w:rsid w:val="00865E04"/>
    <w:rsid w:val="00865EC2"/>
    <w:rsid w:val="00866453"/>
    <w:rsid w:val="008666B5"/>
    <w:rsid w:val="008666CE"/>
    <w:rsid w:val="00866781"/>
    <w:rsid w:val="00866FD9"/>
    <w:rsid w:val="00867366"/>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4B6"/>
    <w:rsid w:val="0087182E"/>
    <w:rsid w:val="00871CDF"/>
    <w:rsid w:val="00871D14"/>
    <w:rsid w:val="00871D38"/>
    <w:rsid w:val="00871D42"/>
    <w:rsid w:val="0087229F"/>
    <w:rsid w:val="008722B0"/>
    <w:rsid w:val="0087250F"/>
    <w:rsid w:val="008726A0"/>
    <w:rsid w:val="00872AE1"/>
    <w:rsid w:val="00873155"/>
    <w:rsid w:val="00873422"/>
    <w:rsid w:val="008734E7"/>
    <w:rsid w:val="00873BF0"/>
    <w:rsid w:val="008745C8"/>
    <w:rsid w:val="0087468F"/>
    <w:rsid w:val="008748F1"/>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6B1C"/>
    <w:rsid w:val="00876DBF"/>
    <w:rsid w:val="0087707C"/>
    <w:rsid w:val="0087721D"/>
    <w:rsid w:val="0087726E"/>
    <w:rsid w:val="008772A5"/>
    <w:rsid w:val="0087746C"/>
    <w:rsid w:val="00877C57"/>
    <w:rsid w:val="00877FA3"/>
    <w:rsid w:val="0088011E"/>
    <w:rsid w:val="008804C9"/>
    <w:rsid w:val="008804DC"/>
    <w:rsid w:val="0088052B"/>
    <w:rsid w:val="00880794"/>
    <w:rsid w:val="00880A42"/>
    <w:rsid w:val="00880B3D"/>
    <w:rsid w:val="00880B61"/>
    <w:rsid w:val="00880D84"/>
    <w:rsid w:val="00880F69"/>
    <w:rsid w:val="00881084"/>
    <w:rsid w:val="008810DF"/>
    <w:rsid w:val="008810FA"/>
    <w:rsid w:val="0088151D"/>
    <w:rsid w:val="00881842"/>
    <w:rsid w:val="00881F28"/>
    <w:rsid w:val="008821A8"/>
    <w:rsid w:val="0088261A"/>
    <w:rsid w:val="008826DB"/>
    <w:rsid w:val="008827C4"/>
    <w:rsid w:val="00882853"/>
    <w:rsid w:val="00882881"/>
    <w:rsid w:val="00882BB1"/>
    <w:rsid w:val="00882DCF"/>
    <w:rsid w:val="00883004"/>
    <w:rsid w:val="008833BE"/>
    <w:rsid w:val="0088345F"/>
    <w:rsid w:val="0088366F"/>
    <w:rsid w:val="00883B97"/>
    <w:rsid w:val="00883BF6"/>
    <w:rsid w:val="00883CAD"/>
    <w:rsid w:val="00883D18"/>
    <w:rsid w:val="00883D34"/>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819"/>
    <w:rsid w:val="0088793B"/>
    <w:rsid w:val="00887A19"/>
    <w:rsid w:val="00887A92"/>
    <w:rsid w:val="00887AD5"/>
    <w:rsid w:val="00887BC1"/>
    <w:rsid w:val="00887DAB"/>
    <w:rsid w:val="0089000A"/>
    <w:rsid w:val="0089035C"/>
    <w:rsid w:val="00890399"/>
    <w:rsid w:val="008907B2"/>
    <w:rsid w:val="008907CD"/>
    <w:rsid w:val="00890B03"/>
    <w:rsid w:val="00890B2C"/>
    <w:rsid w:val="00890BCD"/>
    <w:rsid w:val="00890BF4"/>
    <w:rsid w:val="00890F04"/>
    <w:rsid w:val="00890F2B"/>
    <w:rsid w:val="008911A2"/>
    <w:rsid w:val="008919C4"/>
    <w:rsid w:val="00891A5E"/>
    <w:rsid w:val="00891F63"/>
    <w:rsid w:val="00891F6C"/>
    <w:rsid w:val="008922DC"/>
    <w:rsid w:val="008922DF"/>
    <w:rsid w:val="00892C7E"/>
    <w:rsid w:val="00893024"/>
    <w:rsid w:val="00893723"/>
    <w:rsid w:val="00893B3B"/>
    <w:rsid w:val="008941C7"/>
    <w:rsid w:val="00894304"/>
    <w:rsid w:val="008944C2"/>
    <w:rsid w:val="00894982"/>
    <w:rsid w:val="00894D76"/>
    <w:rsid w:val="00894F3F"/>
    <w:rsid w:val="00895243"/>
    <w:rsid w:val="00895461"/>
    <w:rsid w:val="008956A0"/>
    <w:rsid w:val="00895A0C"/>
    <w:rsid w:val="0089654E"/>
    <w:rsid w:val="00896982"/>
    <w:rsid w:val="00896995"/>
    <w:rsid w:val="00896A3A"/>
    <w:rsid w:val="00896A6F"/>
    <w:rsid w:val="00896D10"/>
    <w:rsid w:val="00896DF5"/>
    <w:rsid w:val="0089788B"/>
    <w:rsid w:val="00897BEA"/>
    <w:rsid w:val="00897EFC"/>
    <w:rsid w:val="008A0173"/>
    <w:rsid w:val="008A0339"/>
    <w:rsid w:val="008A0364"/>
    <w:rsid w:val="008A03A0"/>
    <w:rsid w:val="008A0473"/>
    <w:rsid w:val="008A04C7"/>
    <w:rsid w:val="008A0627"/>
    <w:rsid w:val="008A08A9"/>
    <w:rsid w:val="008A0B56"/>
    <w:rsid w:val="008A0BBA"/>
    <w:rsid w:val="008A0D4A"/>
    <w:rsid w:val="008A111D"/>
    <w:rsid w:val="008A1706"/>
    <w:rsid w:val="008A197B"/>
    <w:rsid w:val="008A1AC3"/>
    <w:rsid w:val="008A1C65"/>
    <w:rsid w:val="008A1C6C"/>
    <w:rsid w:val="008A1C7D"/>
    <w:rsid w:val="008A1D80"/>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E40"/>
    <w:rsid w:val="008A3FB5"/>
    <w:rsid w:val="008A42D8"/>
    <w:rsid w:val="008A457F"/>
    <w:rsid w:val="008A47DB"/>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90"/>
    <w:rsid w:val="008B33D2"/>
    <w:rsid w:val="008B358E"/>
    <w:rsid w:val="008B35ED"/>
    <w:rsid w:val="008B3713"/>
    <w:rsid w:val="008B41EF"/>
    <w:rsid w:val="008B4230"/>
    <w:rsid w:val="008B447F"/>
    <w:rsid w:val="008B47D5"/>
    <w:rsid w:val="008B491D"/>
    <w:rsid w:val="008B4A3B"/>
    <w:rsid w:val="008B4AD8"/>
    <w:rsid w:val="008B4B0D"/>
    <w:rsid w:val="008B4B33"/>
    <w:rsid w:val="008B4F28"/>
    <w:rsid w:val="008B535C"/>
    <w:rsid w:val="008B5577"/>
    <w:rsid w:val="008B5676"/>
    <w:rsid w:val="008B580F"/>
    <w:rsid w:val="008B58AE"/>
    <w:rsid w:val="008B5F93"/>
    <w:rsid w:val="008B5FB9"/>
    <w:rsid w:val="008B6058"/>
    <w:rsid w:val="008B6062"/>
    <w:rsid w:val="008B60E9"/>
    <w:rsid w:val="008B60ED"/>
    <w:rsid w:val="008B68DD"/>
    <w:rsid w:val="008B6904"/>
    <w:rsid w:val="008B6E5C"/>
    <w:rsid w:val="008B6FEC"/>
    <w:rsid w:val="008B7394"/>
    <w:rsid w:val="008B766A"/>
    <w:rsid w:val="008B7A0E"/>
    <w:rsid w:val="008B7B59"/>
    <w:rsid w:val="008B7F9E"/>
    <w:rsid w:val="008C0FB9"/>
    <w:rsid w:val="008C178F"/>
    <w:rsid w:val="008C2274"/>
    <w:rsid w:val="008C2426"/>
    <w:rsid w:val="008C2453"/>
    <w:rsid w:val="008C26B4"/>
    <w:rsid w:val="008C28BA"/>
    <w:rsid w:val="008C2F57"/>
    <w:rsid w:val="008C2F95"/>
    <w:rsid w:val="008C2FF9"/>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EB1"/>
    <w:rsid w:val="008C5F75"/>
    <w:rsid w:val="008C6C7A"/>
    <w:rsid w:val="008C6F4F"/>
    <w:rsid w:val="008C70B1"/>
    <w:rsid w:val="008C747B"/>
    <w:rsid w:val="008C74CC"/>
    <w:rsid w:val="008C7E9F"/>
    <w:rsid w:val="008C7F77"/>
    <w:rsid w:val="008D008C"/>
    <w:rsid w:val="008D02CB"/>
    <w:rsid w:val="008D0459"/>
    <w:rsid w:val="008D04A8"/>
    <w:rsid w:val="008D05A3"/>
    <w:rsid w:val="008D05D2"/>
    <w:rsid w:val="008D0A9C"/>
    <w:rsid w:val="008D0B9F"/>
    <w:rsid w:val="008D1389"/>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4277"/>
    <w:rsid w:val="008D453F"/>
    <w:rsid w:val="008D45EB"/>
    <w:rsid w:val="008D469A"/>
    <w:rsid w:val="008D4C52"/>
    <w:rsid w:val="008D508F"/>
    <w:rsid w:val="008D538D"/>
    <w:rsid w:val="008D58BE"/>
    <w:rsid w:val="008D592F"/>
    <w:rsid w:val="008D5F10"/>
    <w:rsid w:val="008D5FCD"/>
    <w:rsid w:val="008D6733"/>
    <w:rsid w:val="008D6A69"/>
    <w:rsid w:val="008D6AF9"/>
    <w:rsid w:val="008D6F90"/>
    <w:rsid w:val="008D72A4"/>
    <w:rsid w:val="008D7378"/>
    <w:rsid w:val="008D73E8"/>
    <w:rsid w:val="008D7554"/>
    <w:rsid w:val="008D7615"/>
    <w:rsid w:val="008D76A0"/>
    <w:rsid w:val="008D7868"/>
    <w:rsid w:val="008D78C3"/>
    <w:rsid w:val="008D7DEB"/>
    <w:rsid w:val="008D7F7A"/>
    <w:rsid w:val="008E0054"/>
    <w:rsid w:val="008E0239"/>
    <w:rsid w:val="008E037E"/>
    <w:rsid w:val="008E03C6"/>
    <w:rsid w:val="008E03DC"/>
    <w:rsid w:val="008E04B5"/>
    <w:rsid w:val="008E05B6"/>
    <w:rsid w:val="008E0CDD"/>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AD8"/>
    <w:rsid w:val="008E3D78"/>
    <w:rsid w:val="008E3F52"/>
    <w:rsid w:val="008E412D"/>
    <w:rsid w:val="008E4180"/>
    <w:rsid w:val="008E427C"/>
    <w:rsid w:val="008E4280"/>
    <w:rsid w:val="008E4400"/>
    <w:rsid w:val="008E451A"/>
    <w:rsid w:val="008E45D7"/>
    <w:rsid w:val="008E4820"/>
    <w:rsid w:val="008E4DE6"/>
    <w:rsid w:val="008E521A"/>
    <w:rsid w:val="008E5382"/>
    <w:rsid w:val="008E59A4"/>
    <w:rsid w:val="008E5B5F"/>
    <w:rsid w:val="008E5B80"/>
    <w:rsid w:val="008E5D5A"/>
    <w:rsid w:val="008E5E79"/>
    <w:rsid w:val="008E6333"/>
    <w:rsid w:val="008E63CD"/>
    <w:rsid w:val="008E6718"/>
    <w:rsid w:val="008E6788"/>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645"/>
    <w:rsid w:val="008F2716"/>
    <w:rsid w:val="008F2B4B"/>
    <w:rsid w:val="008F2C77"/>
    <w:rsid w:val="008F356E"/>
    <w:rsid w:val="008F39DA"/>
    <w:rsid w:val="008F39F1"/>
    <w:rsid w:val="008F3D2D"/>
    <w:rsid w:val="008F3D7C"/>
    <w:rsid w:val="008F3DC9"/>
    <w:rsid w:val="008F4107"/>
    <w:rsid w:val="008F473A"/>
    <w:rsid w:val="008F4786"/>
    <w:rsid w:val="008F4850"/>
    <w:rsid w:val="008F4BFE"/>
    <w:rsid w:val="008F4C7F"/>
    <w:rsid w:val="008F4CE6"/>
    <w:rsid w:val="008F4DC0"/>
    <w:rsid w:val="008F4E3F"/>
    <w:rsid w:val="008F4FC5"/>
    <w:rsid w:val="008F5184"/>
    <w:rsid w:val="008F52BC"/>
    <w:rsid w:val="008F5671"/>
    <w:rsid w:val="008F595E"/>
    <w:rsid w:val="008F59E9"/>
    <w:rsid w:val="008F5AA2"/>
    <w:rsid w:val="008F6179"/>
    <w:rsid w:val="008F6188"/>
    <w:rsid w:val="008F6649"/>
    <w:rsid w:val="008F678D"/>
    <w:rsid w:val="008F6CD0"/>
    <w:rsid w:val="008F6CD1"/>
    <w:rsid w:val="008F71CB"/>
    <w:rsid w:val="008F7570"/>
    <w:rsid w:val="008F7AA4"/>
    <w:rsid w:val="008F7B08"/>
    <w:rsid w:val="008F7B66"/>
    <w:rsid w:val="008F7BD6"/>
    <w:rsid w:val="008F7CEF"/>
    <w:rsid w:val="0090004F"/>
    <w:rsid w:val="009000FD"/>
    <w:rsid w:val="009006AA"/>
    <w:rsid w:val="00900AF1"/>
    <w:rsid w:val="00900DDE"/>
    <w:rsid w:val="00900DF1"/>
    <w:rsid w:val="00900EB3"/>
    <w:rsid w:val="0090108C"/>
    <w:rsid w:val="0090173C"/>
    <w:rsid w:val="00901845"/>
    <w:rsid w:val="00901926"/>
    <w:rsid w:val="00901D08"/>
    <w:rsid w:val="00901D80"/>
    <w:rsid w:val="009022BC"/>
    <w:rsid w:val="00902533"/>
    <w:rsid w:val="0090255A"/>
    <w:rsid w:val="00902734"/>
    <w:rsid w:val="00902997"/>
    <w:rsid w:val="00902A48"/>
    <w:rsid w:val="00902A97"/>
    <w:rsid w:val="0090300D"/>
    <w:rsid w:val="00903281"/>
    <w:rsid w:val="009032CC"/>
    <w:rsid w:val="00903546"/>
    <w:rsid w:val="009036A5"/>
    <w:rsid w:val="00903F59"/>
    <w:rsid w:val="0090411E"/>
    <w:rsid w:val="009045C7"/>
    <w:rsid w:val="0090480E"/>
    <w:rsid w:val="009048B4"/>
    <w:rsid w:val="00904A52"/>
    <w:rsid w:val="00904A62"/>
    <w:rsid w:val="00904B6D"/>
    <w:rsid w:val="00904E1D"/>
    <w:rsid w:val="009056C4"/>
    <w:rsid w:val="00905A06"/>
    <w:rsid w:val="00905C9B"/>
    <w:rsid w:val="00905E2D"/>
    <w:rsid w:val="00906100"/>
    <w:rsid w:val="009061FE"/>
    <w:rsid w:val="0090653E"/>
    <w:rsid w:val="0090673D"/>
    <w:rsid w:val="009067B8"/>
    <w:rsid w:val="00906BAC"/>
    <w:rsid w:val="00906EED"/>
    <w:rsid w:val="00907071"/>
    <w:rsid w:val="0090715C"/>
    <w:rsid w:val="0090717B"/>
    <w:rsid w:val="00907180"/>
    <w:rsid w:val="00907A5E"/>
    <w:rsid w:val="00907CF3"/>
    <w:rsid w:val="00910178"/>
    <w:rsid w:val="00910535"/>
    <w:rsid w:val="009105EF"/>
    <w:rsid w:val="00910653"/>
    <w:rsid w:val="009108A7"/>
    <w:rsid w:val="00910A24"/>
    <w:rsid w:val="00910ED6"/>
    <w:rsid w:val="00911E1A"/>
    <w:rsid w:val="009123B9"/>
    <w:rsid w:val="00912756"/>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882"/>
    <w:rsid w:val="009239D8"/>
    <w:rsid w:val="00923ABA"/>
    <w:rsid w:val="00923FBD"/>
    <w:rsid w:val="00924108"/>
    <w:rsid w:val="0092434B"/>
    <w:rsid w:val="009247D8"/>
    <w:rsid w:val="00924842"/>
    <w:rsid w:val="00924BE9"/>
    <w:rsid w:val="00924F5D"/>
    <w:rsid w:val="00924F9D"/>
    <w:rsid w:val="0092507E"/>
    <w:rsid w:val="0092511A"/>
    <w:rsid w:val="00925436"/>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305"/>
    <w:rsid w:val="009305EB"/>
    <w:rsid w:val="0093063D"/>
    <w:rsid w:val="009306BD"/>
    <w:rsid w:val="00931197"/>
    <w:rsid w:val="0093135E"/>
    <w:rsid w:val="00931770"/>
    <w:rsid w:val="0093195D"/>
    <w:rsid w:val="00931D87"/>
    <w:rsid w:val="00932109"/>
    <w:rsid w:val="009322AC"/>
    <w:rsid w:val="00932414"/>
    <w:rsid w:val="009324B1"/>
    <w:rsid w:val="009327B5"/>
    <w:rsid w:val="00932907"/>
    <w:rsid w:val="00932936"/>
    <w:rsid w:val="00932A16"/>
    <w:rsid w:val="00932A20"/>
    <w:rsid w:val="00932C9A"/>
    <w:rsid w:val="0093311E"/>
    <w:rsid w:val="00933183"/>
    <w:rsid w:val="0093332D"/>
    <w:rsid w:val="009338C3"/>
    <w:rsid w:val="0093396F"/>
    <w:rsid w:val="00933C28"/>
    <w:rsid w:val="00933D61"/>
    <w:rsid w:val="00933DE4"/>
    <w:rsid w:val="0093457F"/>
    <w:rsid w:val="00934605"/>
    <w:rsid w:val="00934C65"/>
    <w:rsid w:val="00934D8B"/>
    <w:rsid w:val="009350A7"/>
    <w:rsid w:val="0093550C"/>
    <w:rsid w:val="00935536"/>
    <w:rsid w:val="009355F0"/>
    <w:rsid w:val="00935766"/>
    <w:rsid w:val="00935811"/>
    <w:rsid w:val="00935B52"/>
    <w:rsid w:val="00935E52"/>
    <w:rsid w:val="00936090"/>
    <w:rsid w:val="00936181"/>
    <w:rsid w:val="00936593"/>
    <w:rsid w:val="00936951"/>
    <w:rsid w:val="00936A8B"/>
    <w:rsid w:val="00936A90"/>
    <w:rsid w:val="00936AFE"/>
    <w:rsid w:val="009370A6"/>
    <w:rsid w:val="00937AC7"/>
    <w:rsid w:val="00937D15"/>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1F7"/>
    <w:rsid w:val="00942322"/>
    <w:rsid w:val="00942584"/>
    <w:rsid w:val="009426E7"/>
    <w:rsid w:val="00942973"/>
    <w:rsid w:val="00942BB8"/>
    <w:rsid w:val="0094335F"/>
    <w:rsid w:val="00943360"/>
    <w:rsid w:val="009434AC"/>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47DB3"/>
    <w:rsid w:val="009500A0"/>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6BA"/>
    <w:rsid w:val="009537A7"/>
    <w:rsid w:val="00953B1F"/>
    <w:rsid w:val="00953CEA"/>
    <w:rsid w:val="009542A5"/>
    <w:rsid w:val="009543E7"/>
    <w:rsid w:val="00954779"/>
    <w:rsid w:val="00954836"/>
    <w:rsid w:val="009548C3"/>
    <w:rsid w:val="00954A45"/>
    <w:rsid w:val="0095506D"/>
    <w:rsid w:val="009553C4"/>
    <w:rsid w:val="00955443"/>
    <w:rsid w:val="009555E2"/>
    <w:rsid w:val="009557DF"/>
    <w:rsid w:val="00955A2E"/>
    <w:rsid w:val="00956101"/>
    <w:rsid w:val="00956526"/>
    <w:rsid w:val="00957060"/>
    <w:rsid w:val="00957193"/>
    <w:rsid w:val="009571E6"/>
    <w:rsid w:val="00957487"/>
    <w:rsid w:val="0095771D"/>
    <w:rsid w:val="00957A88"/>
    <w:rsid w:val="00957D9C"/>
    <w:rsid w:val="00960024"/>
    <w:rsid w:val="009600CE"/>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653"/>
    <w:rsid w:val="00962874"/>
    <w:rsid w:val="0096292B"/>
    <w:rsid w:val="0096336E"/>
    <w:rsid w:val="0096349F"/>
    <w:rsid w:val="0096392B"/>
    <w:rsid w:val="0096397B"/>
    <w:rsid w:val="00963A7C"/>
    <w:rsid w:val="00963A81"/>
    <w:rsid w:val="00963AE5"/>
    <w:rsid w:val="00963C84"/>
    <w:rsid w:val="00963D05"/>
    <w:rsid w:val="009640C7"/>
    <w:rsid w:val="009640D3"/>
    <w:rsid w:val="009649EA"/>
    <w:rsid w:val="00964DB8"/>
    <w:rsid w:val="00964E3C"/>
    <w:rsid w:val="00964E69"/>
    <w:rsid w:val="00964FE3"/>
    <w:rsid w:val="00965015"/>
    <w:rsid w:val="0096504D"/>
    <w:rsid w:val="00965230"/>
    <w:rsid w:val="009654F0"/>
    <w:rsid w:val="009659EA"/>
    <w:rsid w:val="00965FA9"/>
    <w:rsid w:val="00966417"/>
    <w:rsid w:val="0096653F"/>
    <w:rsid w:val="0096691D"/>
    <w:rsid w:val="00966C88"/>
    <w:rsid w:val="00966EC4"/>
    <w:rsid w:val="009672BC"/>
    <w:rsid w:val="0096766C"/>
    <w:rsid w:val="00967851"/>
    <w:rsid w:val="00967872"/>
    <w:rsid w:val="00967912"/>
    <w:rsid w:val="00967A79"/>
    <w:rsid w:val="00967B67"/>
    <w:rsid w:val="00967D2D"/>
    <w:rsid w:val="00967D57"/>
    <w:rsid w:val="00967D7D"/>
    <w:rsid w:val="00970579"/>
    <w:rsid w:val="00970872"/>
    <w:rsid w:val="009708E2"/>
    <w:rsid w:val="00970F7A"/>
    <w:rsid w:val="00970FE3"/>
    <w:rsid w:val="00971190"/>
    <w:rsid w:val="009712FC"/>
    <w:rsid w:val="009713AD"/>
    <w:rsid w:val="009718F0"/>
    <w:rsid w:val="00971B36"/>
    <w:rsid w:val="00971EC5"/>
    <w:rsid w:val="00971F6B"/>
    <w:rsid w:val="00971FCC"/>
    <w:rsid w:val="00972039"/>
    <w:rsid w:val="0097298A"/>
    <w:rsid w:val="009729FE"/>
    <w:rsid w:val="00972A0B"/>
    <w:rsid w:val="00972BB7"/>
    <w:rsid w:val="00972C06"/>
    <w:rsid w:val="00972EAB"/>
    <w:rsid w:val="00972F4C"/>
    <w:rsid w:val="00972FEB"/>
    <w:rsid w:val="0097307D"/>
    <w:rsid w:val="00973257"/>
    <w:rsid w:val="0097328F"/>
    <w:rsid w:val="00973490"/>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4F77"/>
    <w:rsid w:val="009751BA"/>
    <w:rsid w:val="009755CD"/>
    <w:rsid w:val="0097563E"/>
    <w:rsid w:val="00975778"/>
    <w:rsid w:val="00975859"/>
    <w:rsid w:val="00975A8C"/>
    <w:rsid w:val="009761A9"/>
    <w:rsid w:val="00976610"/>
    <w:rsid w:val="00976B35"/>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B15"/>
    <w:rsid w:val="00980D88"/>
    <w:rsid w:val="00980F14"/>
    <w:rsid w:val="0098104D"/>
    <w:rsid w:val="0098108F"/>
    <w:rsid w:val="009811AA"/>
    <w:rsid w:val="009814EB"/>
    <w:rsid w:val="0098172B"/>
    <w:rsid w:val="009817F9"/>
    <w:rsid w:val="0098183B"/>
    <w:rsid w:val="00981840"/>
    <w:rsid w:val="009819DA"/>
    <w:rsid w:val="00981A84"/>
    <w:rsid w:val="00981E82"/>
    <w:rsid w:val="009822AF"/>
    <w:rsid w:val="009823A3"/>
    <w:rsid w:val="00982457"/>
    <w:rsid w:val="00982AB4"/>
    <w:rsid w:val="00982B3A"/>
    <w:rsid w:val="00982D25"/>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FF"/>
    <w:rsid w:val="0098541D"/>
    <w:rsid w:val="0098558E"/>
    <w:rsid w:val="009858B0"/>
    <w:rsid w:val="00985B5B"/>
    <w:rsid w:val="00985C58"/>
    <w:rsid w:val="00985C9A"/>
    <w:rsid w:val="00985CA4"/>
    <w:rsid w:val="00985D90"/>
    <w:rsid w:val="00985F01"/>
    <w:rsid w:val="00985F0C"/>
    <w:rsid w:val="0098606B"/>
    <w:rsid w:val="009861A9"/>
    <w:rsid w:val="00986326"/>
    <w:rsid w:val="009863AD"/>
    <w:rsid w:val="00986447"/>
    <w:rsid w:val="00986956"/>
    <w:rsid w:val="00987486"/>
    <w:rsid w:val="0098748A"/>
    <w:rsid w:val="009876A0"/>
    <w:rsid w:val="009877D2"/>
    <w:rsid w:val="009879B5"/>
    <w:rsid w:val="009879F4"/>
    <w:rsid w:val="009904B4"/>
    <w:rsid w:val="00990A01"/>
    <w:rsid w:val="00990D32"/>
    <w:rsid w:val="00990D3B"/>
    <w:rsid w:val="00990DCC"/>
    <w:rsid w:val="00990E80"/>
    <w:rsid w:val="00991628"/>
    <w:rsid w:val="009917F3"/>
    <w:rsid w:val="00991B0C"/>
    <w:rsid w:val="00991F39"/>
    <w:rsid w:val="009921AE"/>
    <w:rsid w:val="00992259"/>
    <w:rsid w:val="00992624"/>
    <w:rsid w:val="009927C4"/>
    <w:rsid w:val="0099295A"/>
    <w:rsid w:val="00992E6B"/>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CD"/>
    <w:rsid w:val="009962B0"/>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1A1"/>
    <w:rsid w:val="009A0212"/>
    <w:rsid w:val="009A031F"/>
    <w:rsid w:val="009A0332"/>
    <w:rsid w:val="009A041C"/>
    <w:rsid w:val="009A04D7"/>
    <w:rsid w:val="009A0886"/>
    <w:rsid w:val="009A0928"/>
    <w:rsid w:val="009A0A48"/>
    <w:rsid w:val="009A0AE7"/>
    <w:rsid w:val="009A1722"/>
    <w:rsid w:val="009A1915"/>
    <w:rsid w:val="009A1B2E"/>
    <w:rsid w:val="009A1E77"/>
    <w:rsid w:val="009A20F1"/>
    <w:rsid w:val="009A2180"/>
    <w:rsid w:val="009A22E9"/>
    <w:rsid w:val="009A246A"/>
    <w:rsid w:val="009A276A"/>
    <w:rsid w:val="009A2AEE"/>
    <w:rsid w:val="009A2B78"/>
    <w:rsid w:val="009A2C6E"/>
    <w:rsid w:val="009A3183"/>
    <w:rsid w:val="009A3473"/>
    <w:rsid w:val="009A34BB"/>
    <w:rsid w:val="009A34F2"/>
    <w:rsid w:val="009A37AC"/>
    <w:rsid w:val="009A3A69"/>
    <w:rsid w:val="009A3AB5"/>
    <w:rsid w:val="009A414F"/>
    <w:rsid w:val="009A4345"/>
    <w:rsid w:val="009A4758"/>
    <w:rsid w:val="009A4AA1"/>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D09"/>
    <w:rsid w:val="009B0D80"/>
    <w:rsid w:val="009B19A9"/>
    <w:rsid w:val="009B1B81"/>
    <w:rsid w:val="009B22E9"/>
    <w:rsid w:val="009B2353"/>
    <w:rsid w:val="009B3032"/>
    <w:rsid w:val="009B3221"/>
    <w:rsid w:val="009B346F"/>
    <w:rsid w:val="009B3608"/>
    <w:rsid w:val="009B3694"/>
    <w:rsid w:val="009B3745"/>
    <w:rsid w:val="009B3A10"/>
    <w:rsid w:val="009B3B3E"/>
    <w:rsid w:val="009B3C1E"/>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B7"/>
    <w:rsid w:val="009B61D3"/>
    <w:rsid w:val="009B61F7"/>
    <w:rsid w:val="009B68AD"/>
    <w:rsid w:val="009B6C13"/>
    <w:rsid w:val="009B6CEA"/>
    <w:rsid w:val="009B7834"/>
    <w:rsid w:val="009B7BB7"/>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30B"/>
    <w:rsid w:val="009C281C"/>
    <w:rsid w:val="009C29E0"/>
    <w:rsid w:val="009C2B28"/>
    <w:rsid w:val="009C31B7"/>
    <w:rsid w:val="009C325B"/>
    <w:rsid w:val="009C3A87"/>
    <w:rsid w:val="009C3D88"/>
    <w:rsid w:val="009C3EEC"/>
    <w:rsid w:val="009C3FD7"/>
    <w:rsid w:val="009C4074"/>
    <w:rsid w:val="009C4661"/>
    <w:rsid w:val="009C4A33"/>
    <w:rsid w:val="009C4E59"/>
    <w:rsid w:val="009C520B"/>
    <w:rsid w:val="009C53F5"/>
    <w:rsid w:val="009C55F4"/>
    <w:rsid w:val="009C5785"/>
    <w:rsid w:val="009C5818"/>
    <w:rsid w:val="009C585B"/>
    <w:rsid w:val="009C5874"/>
    <w:rsid w:val="009C64A2"/>
    <w:rsid w:val="009C6768"/>
    <w:rsid w:val="009C6894"/>
    <w:rsid w:val="009C68DA"/>
    <w:rsid w:val="009C6A24"/>
    <w:rsid w:val="009C6AAD"/>
    <w:rsid w:val="009C6B3B"/>
    <w:rsid w:val="009C6B7B"/>
    <w:rsid w:val="009C6D65"/>
    <w:rsid w:val="009C6E0F"/>
    <w:rsid w:val="009C6E60"/>
    <w:rsid w:val="009C6E93"/>
    <w:rsid w:val="009C7147"/>
    <w:rsid w:val="009C759C"/>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234"/>
    <w:rsid w:val="009D129F"/>
    <w:rsid w:val="009D1891"/>
    <w:rsid w:val="009D1D55"/>
    <w:rsid w:val="009D2118"/>
    <w:rsid w:val="009D21A4"/>
    <w:rsid w:val="009D22EA"/>
    <w:rsid w:val="009D28C7"/>
    <w:rsid w:val="009D2A06"/>
    <w:rsid w:val="009D2BEA"/>
    <w:rsid w:val="009D2C43"/>
    <w:rsid w:val="009D2D27"/>
    <w:rsid w:val="009D30AB"/>
    <w:rsid w:val="009D31C1"/>
    <w:rsid w:val="009D3256"/>
    <w:rsid w:val="009D32F4"/>
    <w:rsid w:val="009D33EF"/>
    <w:rsid w:val="009D3CC0"/>
    <w:rsid w:val="009D3D45"/>
    <w:rsid w:val="009D3E52"/>
    <w:rsid w:val="009D40DC"/>
    <w:rsid w:val="009D422C"/>
    <w:rsid w:val="009D4303"/>
    <w:rsid w:val="009D436A"/>
    <w:rsid w:val="009D43D9"/>
    <w:rsid w:val="009D478C"/>
    <w:rsid w:val="009D49A4"/>
    <w:rsid w:val="009D49B5"/>
    <w:rsid w:val="009D4A8E"/>
    <w:rsid w:val="009D4DA3"/>
    <w:rsid w:val="009D4DAE"/>
    <w:rsid w:val="009D5362"/>
    <w:rsid w:val="009D536C"/>
    <w:rsid w:val="009D60A4"/>
    <w:rsid w:val="009D610C"/>
    <w:rsid w:val="009D62E7"/>
    <w:rsid w:val="009D6801"/>
    <w:rsid w:val="009D69E5"/>
    <w:rsid w:val="009D6AB8"/>
    <w:rsid w:val="009D6B8A"/>
    <w:rsid w:val="009D6CAB"/>
    <w:rsid w:val="009D6F40"/>
    <w:rsid w:val="009D742E"/>
    <w:rsid w:val="009D75A4"/>
    <w:rsid w:val="009D7CC2"/>
    <w:rsid w:val="009D7CF7"/>
    <w:rsid w:val="009D7D77"/>
    <w:rsid w:val="009E0025"/>
    <w:rsid w:val="009E044F"/>
    <w:rsid w:val="009E05E4"/>
    <w:rsid w:val="009E06AC"/>
    <w:rsid w:val="009E06FB"/>
    <w:rsid w:val="009E079E"/>
    <w:rsid w:val="009E0F31"/>
    <w:rsid w:val="009E0FC3"/>
    <w:rsid w:val="009E11A9"/>
    <w:rsid w:val="009E1544"/>
    <w:rsid w:val="009E1662"/>
    <w:rsid w:val="009E176B"/>
    <w:rsid w:val="009E1D4E"/>
    <w:rsid w:val="009E1E13"/>
    <w:rsid w:val="009E1E2D"/>
    <w:rsid w:val="009E1F70"/>
    <w:rsid w:val="009E1FFC"/>
    <w:rsid w:val="009E21B0"/>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61"/>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E7E"/>
    <w:rsid w:val="009F3242"/>
    <w:rsid w:val="009F3720"/>
    <w:rsid w:val="009F3A4B"/>
    <w:rsid w:val="009F3B56"/>
    <w:rsid w:val="009F3FC9"/>
    <w:rsid w:val="009F41E1"/>
    <w:rsid w:val="009F4375"/>
    <w:rsid w:val="009F47E1"/>
    <w:rsid w:val="009F4834"/>
    <w:rsid w:val="009F49B9"/>
    <w:rsid w:val="009F4E73"/>
    <w:rsid w:val="009F4ED5"/>
    <w:rsid w:val="009F4F05"/>
    <w:rsid w:val="009F5234"/>
    <w:rsid w:val="009F537B"/>
    <w:rsid w:val="009F5606"/>
    <w:rsid w:val="009F57FE"/>
    <w:rsid w:val="009F5BF9"/>
    <w:rsid w:val="009F5CA4"/>
    <w:rsid w:val="009F5F30"/>
    <w:rsid w:val="009F5F78"/>
    <w:rsid w:val="009F6410"/>
    <w:rsid w:val="009F6457"/>
    <w:rsid w:val="009F669B"/>
    <w:rsid w:val="009F66DF"/>
    <w:rsid w:val="009F697C"/>
    <w:rsid w:val="009F6DEF"/>
    <w:rsid w:val="009F6EBA"/>
    <w:rsid w:val="009F709D"/>
    <w:rsid w:val="009F7169"/>
    <w:rsid w:val="009F76CB"/>
    <w:rsid w:val="009F7746"/>
    <w:rsid w:val="009F7883"/>
    <w:rsid w:val="009F7B46"/>
    <w:rsid w:val="009F7DDF"/>
    <w:rsid w:val="00A00519"/>
    <w:rsid w:val="00A009D2"/>
    <w:rsid w:val="00A00DB5"/>
    <w:rsid w:val="00A00F35"/>
    <w:rsid w:val="00A01006"/>
    <w:rsid w:val="00A0107F"/>
    <w:rsid w:val="00A010D7"/>
    <w:rsid w:val="00A0114E"/>
    <w:rsid w:val="00A011C6"/>
    <w:rsid w:val="00A013A9"/>
    <w:rsid w:val="00A01520"/>
    <w:rsid w:val="00A0210D"/>
    <w:rsid w:val="00A02183"/>
    <w:rsid w:val="00A0267C"/>
    <w:rsid w:val="00A0274F"/>
    <w:rsid w:val="00A02A1F"/>
    <w:rsid w:val="00A02B26"/>
    <w:rsid w:val="00A033BE"/>
    <w:rsid w:val="00A0359A"/>
    <w:rsid w:val="00A036A3"/>
    <w:rsid w:val="00A03893"/>
    <w:rsid w:val="00A0394B"/>
    <w:rsid w:val="00A040C4"/>
    <w:rsid w:val="00A04541"/>
    <w:rsid w:val="00A047BB"/>
    <w:rsid w:val="00A04846"/>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F57"/>
    <w:rsid w:val="00A07388"/>
    <w:rsid w:val="00A07443"/>
    <w:rsid w:val="00A07654"/>
    <w:rsid w:val="00A0767A"/>
    <w:rsid w:val="00A077D0"/>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B83"/>
    <w:rsid w:val="00A11E0F"/>
    <w:rsid w:val="00A11EF6"/>
    <w:rsid w:val="00A11FA2"/>
    <w:rsid w:val="00A121EA"/>
    <w:rsid w:val="00A12206"/>
    <w:rsid w:val="00A1222B"/>
    <w:rsid w:val="00A12301"/>
    <w:rsid w:val="00A12507"/>
    <w:rsid w:val="00A1260C"/>
    <w:rsid w:val="00A12A73"/>
    <w:rsid w:val="00A12B3C"/>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62F"/>
    <w:rsid w:val="00A156E4"/>
    <w:rsid w:val="00A157EC"/>
    <w:rsid w:val="00A159E2"/>
    <w:rsid w:val="00A15B71"/>
    <w:rsid w:val="00A15DBB"/>
    <w:rsid w:val="00A16098"/>
    <w:rsid w:val="00A160AC"/>
    <w:rsid w:val="00A16150"/>
    <w:rsid w:val="00A1630A"/>
    <w:rsid w:val="00A1637F"/>
    <w:rsid w:val="00A164DC"/>
    <w:rsid w:val="00A16A02"/>
    <w:rsid w:val="00A16A1F"/>
    <w:rsid w:val="00A1732D"/>
    <w:rsid w:val="00A17345"/>
    <w:rsid w:val="00A17726"/>
    <w:rsid w:val="00A177E8"/>
    <w:rsid w:val="00A1789B"/>
    <w:rsid w:val="00A17A4F"/>
    <w:rsid w:val="00A17C1A"/>
    <w:rsid w:val="00A17EE0"/>
    <w:rsid w:val="00A2006F"/>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2132"/>
    <w:rsid w:val="00A22207"/>
    <w:rsid w:val="00A224C8"/>
    <w:rsid w:val="00A226BE"/>
    <w:rsid w:val="00A226C7"/>
    <w:rsid w:val="00A22A06"/>
    <w:rsid w:val="00A22A1C"/>
    <w:rsid w:val="00A22A25"/>
    <w:rsid w:val="00A22CEA"/>
    <w:rsid w:val="00A22D9C"/>
    <w:rsid w:val="00A23162"/>
    <w:rsid w:val="00A23418"/>
    <w:rsid w:val="00A23921"/>
    <w:rsid w:val="00A23FCC"/>
    <w:rsid w:val="00A24150"/>
    <w:rsid w:val="00A241E6"/>
    <w:rsid w:val="00A244BE"/>
    <w:rsid w:val="00A2470A"/>
    <w:rsid w:val="00A2481C"/>
    <w:rsid w:val="00A24AFD"/>
    <w:rsid w:val="00A24CCF"/>
    <w:rsid w:val="00A24FB0"/>
    <w:rsid w:val="00A25A28"/>
    <w:rsid w:val="00A260DA"/>
    <w:rsid w:val="00A261E4"/>
    <w:rsid w:val="00A26200"/>
    <w:rsid w:val="00A26337"/>
    <w:rsid w:val="00A26883"/>
    <w:rsid w:val="00A26D60"/>
    <w:rsid w:val="00A26E54"/>
    <w:rsid w:val="00A26EE0"/>
    <w:rsid w:val="00A270A1"/>
    <w:rsid w:val="00A27A99"/>
    <w:rsid w:val="00A27E36"/>
    <w:rsid w:val="00A27F7C"/>
    <w:rsid w:val="00A30006"/>
    <w:rsid w:val="00A30699"/>
    <w:rsid w:val="00A3072C"/>
    <w:rsid w:val="00A3094F"/>
    <w:rsid w:val="00A30BAE"/>
    <w:rsid w:val="00A311E2"/>
    <w:rsid w:val="00A31397"/>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A1B"/>
    <w:rsid w:val="00A33AC8"/>
    <w:rsid w:val="00A33BC8"/>
    <w:rsid w:val="00A33C3D"/>
    <w:rsid w:val="00A33C9E"/>
    <w:rsid w:val="00A3444E"/>
    <w:rsid w:val="00A34547"/>
    <w:rsid w:val="00A3496E"/>
    <w:rsid w:val="00A34D39"/>
    <w:rsid w:val="00A34EBC"/>
    <w:rsid w:val="00A35735"/>
    <w:rsid w:val="00A3583A"/>
    <w:rsid w:val="00A35A0B"/>
    <w:rsid w:val="00A35CBB"/>
    <w:rsid w:val="00A36027"/>
    <w:rsid w:val="00A362CB"/>
    <w:rsid w:val="00A3651F"/>
    <w:rsid w:val="00A36694"/>
    <w:rsid w:val="00A366B7"/>
    <w:rsid w:val="00A368F8"/>
    <w:rsid w:val="00A3747D"/>
    <w:rsid w:val="00A377EC"/>
    <w:rsid w:val="00A377FE"/>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92C"/>
    <w:rsid w:val="00A41B35"/>
    <w:rsid w:val="00A41CA0"/>
    <w:rsid w:val="00A41D0B"/>
    <w:rsid w:val="00A41EB2"/>
    <w:rsid w:val="00A423F6"/>
    <w:rsid w:val="00A42659"/>
    <w:rsid w:val="00A42721"/>
    <w:rsid w:val="00A42897"/>
    <w:rsid w:val="00A429DE"/>
    <w:rsid w:val="00A4339C"/>
    <w:rsid w:val="00A437DD"/>
    <w:rsid w:val="00A43EF4"/>
    <w:rsid w:val="00A4449D"/>
    <w:rsid w:val="00A44530"/>
    <w:rsid w:val="00A44882"/>
    <w:rsid w:val="00A4489C"/>
    <w:rsid w:val="00A44AA5"/>
    <w:rsid w:val="00A44E28"/>
    <w:rsid w:val="00A45324"/>
    <w:rsid w:val="00A45388"/>
    <w:rsid w:val="00A4570E"/>
    <w:rsid w:val="00A45A3B"/>
    <w:rsid w:val="00A461B5"/>
    <w:rsid w:val="00A461D4"/>
    <w:rsid w:val="00A46395"/>
    <w:rsid w:val="00A46768"/>
    <w:rsid w:val="00A4684A"/>
    <w:rsid w:val="00A46A7D"/>
    <w:rsid w:val="00A46FAD"/>
    <w:rsid w:val="00A470ED"/>
    <w:rsid w:val="00A47430"/>
    <w:rsid w:val="00A4761F"/>
    <w:rsid w:val="00A47A36"/>
    <w:rsid w:val="00A47B4B"/>
    <w:rsid w:val="00A5044D"/>
    <w:rsid w:val="00A504F0"/>
    <w:rsid w:val="00A5053D"/>
    <w:rsid w:val="00A506E8"/>
    <w:rsid w:val="00A509A1"/>
    <w:rsid w:val="00A50AED"/>
    <w:rsid w:val="00A50B00"/>
    <w:rsid w:val="00A511FB"/>
    <w:rsid w:val="00A514EB"/>
    <w:rsid w:val="00A5161C"/>
    <w:rsid w:val="00A52109"/>
    <w:rsid w:val="00A521E0"/>
    <w:rsid w:val="00A5241A"/>
    <w:rsid w:val="00A52A54"/>
    <w:rsid w:val="00A52C22"/>
    <w:rsid w:val="00A52CCD"/>
    <w:rsid w:val="00A52D1E"/>
    <w:rsid w:val="00A53080"/>
    <w:rsid w:val="00A5313C"/>
    <w:rsid w:val="00A5320D"/>
    <w:rsid w:val="00A532A8"/>
    <w:rsid w:val="00A53552"/>
    <w:rsid w:val="00A539B1"/>
    <w:rsid w:val="00A53A20"/>
    <w:rsid w:val="00A53AC7"/>
    <w:rsid w:val="00A53DDA"/>
    <w:rsid w:val="00A540D8"/>
    <w:rsid w:val="00A544BF"/>
    <w:rsid w:val="00A544CB"/>
    <w:rsid w:val="00A54A20"/>
    <w:rsid w:val="00A54A90"/>
    <w:rsid w:val="00A54D16"/>
    <w:rsid w:val="00A5579B"/>
    <w:rsid w:val="00A55877"/>
    <w:rsid w:val="00A55A6A"/>
    <w:rsid w:val="00A55BB7"/>
    <w:rsid w:val="00A55CCE"/>
    <w:rsid w:val="00A55E76"/>
    <w:rsid w:val="00A5612A"/>
    <w:rsid w:val="00A5637C"/>
    <w:rsid w:val="00A563CC"/>
    <w:rsid w:val="00A56594"/>
    <w:rsid w:val="00A565AD"/>
    <w:rsid w:val="00A565C3"/>
    <w:rsid w:val="00A56735"/>
    <w:rsid w:val="00A56B86"/>
    <w:rsid w:val="00A56C2C"/>
    <w:rsid w:val="00A56CA2"/>
    <w:rsid w:val="00A570E9"/>
    <w:rsid w:val="00A572A2"/>
    <w:rsid w:val="00A57311"/>
    <w:rsid w:val="00A57371"/>
    <w:rsid w:val="00A5772C"/>
    <w:rsid w:val="00A577E9"/>
    <w:rsid w:val="00A57C08"/>
    <w:rsid w:val="00A57F96"/>
    <w:rsid w:val="00A60100"/>
    <w:rsid w:val="00A602EE"/>
    <w:rsid w:val="00A60425"/>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1CD"/>
    <w:rsid w:val="00A6426C"/>
    <w:rsid w:val="00A64BC7"/>
    <w:rsid w:val="00A64EB1"/>
    <w:rsid w:val="00A65080"/>
    <w:rsid w:val="00A65350"/>
    <w:rsid w:val="00A65354"/>
    <w:rsid w:val="00A65797"/>
    <w:rsid w:val="00A657CF"/>
    <w:rsid w:val="00A659FD"/>
    <w:rsid w:val="00A65A24"/>
    <w:rsid w:val="00A65A44"/>
    <w:rsid w:val="00A65FBF"/>
    <w:rsid w:val="00A66089"/>
    <w:rsid w:val="00A66A0F"/>
    <w:rsid w:val="00A66A5A"/>
    <w:rsid w:val="00A66CA2"/>
    <w:rsid w:val="00A66FE1"/>
    <w:rsid w:val="00A672E0"/>
    <w:rsid w:val="00A677C1"/>
    <w:rsid w:val="00A67A8E"/>
    <w:rsid w:val="00A67AC6"/>
    <w:rsid w:val="00A67D2D"/>
    <w:rsid w:val="00A70A35"/>
    <w:rsid w:val="00A70CD5"/>
    <w:rsid w:val="00A70EDB"/>
    <w:rsid w:val="00A7141F"/>
    <w:rsid w:val="00A71A33"/>
    <w:rsid w:val="00A71D6B"/>
    <w:rsid w:val="00A71F0C"/>
    <w:rsid w:val="00A72343"/>
    <w:rsid w:val="00A7243E"/>
    <w:rsid w:val="00A72A4E"/>
    <w:rsid w:val="00A730B0"/>
    <w:rsid w:val="00A731BD"/>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BA"/>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35F"/>
    <w:rsid w:val="00A777E3"/>
    <w:rsid w:val="00A77816"/>
    <w:rsid w:val="00A77C0E"/>
    <w:rsid w:val="00A806D6"/>
    <w:rsid w:val="00A807E8"/>
    <w:rsid w:val="00A80888"/>
    <w:rsid w:val="00A8099F"/>
    <w:rsid w:val="00A80C13"/>
    <w:rsid w:val="00A80E52"/>
    <w:rsid w:val="00A80FAB"/>
    <w:rsid w:val="00A81038"/>
    <w:rsid w:val="00A8135C"/>
    <w:rsid w:val="00A81633"/>
    <w:rsid w:val="00A8186B"/>
    <w:rsid w:val="00A81897"/>
    <w:rsid w:val="00A81C1D"/>
    <w:rsid w:val="00A81F4B"/>
    <w:rsid w:val="00A8221B"/>
    <w:rsid w:val="00A82665"/>
    <w:rsid w:val="00A82918"/>
    <w:rsid w:val="00A831F0"/>
    <w:rsid w:val="00A834EC"/>
    <w:rsid w:val="00A836DF"/>
    <w:rsid w:val="00A839CF"/>
    <w:rsid w:val="00A83B5A"/>
    <w:rsid w:val="00A83BF1"/>
    <w:rsid w:val="00A83C06"/>
    <w:rsid w:val="00A83F9B"/>
    <w:rsid w:val="00A84298"/>
    <w:rsid w:val="00A84580"/>
    <w:rsid w:val="00A84769"/>
    <w:rsid w:val="00A847C9"/>
    <w:rsid w:val="00A84F0A"/>
    <w:rsid w:val="00A8513A"/>
    <w:rsid w:val="00A8523D"/>
    <w:rsid w:val="00A85279"/>
    <w:rsid w:val="00A8529A"/>
    <w:rsid w:val="00A853DF"/>
    <w:rsid w:val="00A85661"/>
    <w:rsid w:val="00A85991"/>
    <w:rsid w:val="00A85E66"/>
    <w:rsid w:val="00A85FFF"/>
    <w:rsid w:val="00A865AF"/>
    <w:rsid w:val="00A86736"/>
    <w:rsid w:val="00A868E6"/>
    <w:rsid w:val="00A869DD"/>
    <w:rsid w:val="00A86ACD"/>
    <w:rsid w:val="00A86FEF"/>
    <w:rsid w:val="00A87052"/>
    <w:rsid w:val="00A87389"/>
    <w:rsid w:val="00A8745A"/>
    <w:rsid w:val="00A87482"/>
    <w:rsid w:val="00A875E8"/>
    <w:rsid w:val="00A87648"/>
    <w:rsid w:val="00A8787F"/>
    <w:rsid w:val="00A87C98"/>
    <w:rsid w:val="00A87E53"/>
    <w:rsid w:val="00A905F1"/>
    <w:rsid w:val="00A906BA"/>
    <w:rsid w:val="00A90D15"/>
    <w:rsid w:val="00A90E27"/>
    <w:rsid w:val="00A91218"/>
    <w:rsid w:val="00A913FA"/>
    <w:rsid w:val="00A91469"/>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BDA"/>
    <w:rsid w:val="00A93C07"/>
    <w:rsid w:val="00A93C1A"/>
    <w:rsid w:val="00A93E41"/>
    <w:rsid w:val="00A93FAE"/>
    <w:rsid w:val="00A943CD"/>
    <w:rsid w:val="00A949D9"/>
    <w:rsid w:val="00A94A70"/>
    <w:rsid w:val="00A94B73"/>
    <w:rsid w:val="00A94F5C"/>
    <w:rsid w:val="00A9505F"/>
    <w:rsid w:val="00A9526D"/>
    <w:rsid w:val="00A95306"/>
    <w:rsid w:val="00A95353"/>
    <w:rsid w:val="00A95445"/>
    <w:rsid w:val="00A955B1"/>
    <w:rsid w:val="00A95658"/>
    <w:rsid w:val="00A95A3E"/>
    <w:rsid w:val="00A96058"/>
    <w:rsid w:val="00A960E1"/>
    <w:rsid w:val="00A96801"/>
    <w:rsid w:val="00A9692B"/>
    <w:rsid w:val="00A96D7E"/>
    <w:rsid w:val="00A971EC"/>
    <w:rsid w:val="00A9727C"/>
    <w:rsid w:val="00A97356"/>
    <w:rsid w:val="00A97666"/>
    <w:rsid w:val="00A979D5"/>
    <w:rsid w:val="00A97B8C"/>
    <w:rsid w:val="00A97E7B"/>
    <w:rsid w:val="00A97FCA"/>
    <w:rsid w:val="00AA0003"/>
    <w:rsid w:val="00AA0207"/>
    <w:rsid w:val="00AA026D"/>
    <w:rsid w:val="00AA0A0B"/>
    <w:rsid w:val="00AA158B"/>
    <w:rsid w:val="00AA1A65"/>
    <w:rsid w:val="00AA1A94"/>
    <w:rsid w:val="00AA1A99"/>
    <w:rsid w:val="00AA1D12"/>
    <w:rsid w:val="00AA1D37"/>
    <w:rsid w:val="00AA1DBC"/>
    <w:rsid w:val="00AA1EEC"/>
    <w:rsid w:val="00AA1EF0"/>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54"/>
    <w:rsid w:val="00AA34E4"/>
    <w:rsid w:val="00AA3646"/>
    <w:rsid w:val="00AA3927"/>
    <w:rsid w:val="00AA3B44"/>
    <w:rsid w:val="00AA3B47"/>
    <w:rsid w:val="00AA3B75"/>
    <w:rsid w:val="00AA3BBE"/>
    <w:rsid w:val="00AA3FF1"/>
    <w:rsid w:val="00AA435A"/>
    <w:rsid w:val="00AA461D"/>
    <w:rsid w:val="00AA4757"/>
    <w:rsid w:val="00AA4A53"/>
    <w:rsid w:val="00AA4AC8"/>
    <w:rsid w:val="00AA4AD5"/>
    <w:rsid w:val="00AA4B1B"/>
    <w:rsid w:val="00AA4DF9"/>
    <w:rsid w:val="00AA5144"/>
    <w:rsid w:val="00AA52E3"/>
    <w:rsid w:val="00AA53BC"/>
    <w:rsid w:val="00AA5424"/>
    <w:rsid w:val="00AA5584"/>
    <w:rsid w:val="00AA583C"/>
    <w:rsid w:val="00AA5903"/>
    <w:rsid w:val="00AA5952"/>
    <w:rsid w:val="00AA6026"/>
    <w:rsid w:val="00AA6206"/>
    <w:rsid w:val="00AA6258"/>
    <w:rsid w:val="00AA630A"/>
    <w:rsid w:val="00AA69EF"/>
    <w:rsid w:val="00AA6A93"/>
    <w:rsid w:val="00AA6B64"/>
    <w:rsid w:val="00AA6F9A"/>
    <w:rsid w:val="00AA7552"/>
    <w:rsid w:val="00AA75AC"/>
    <w:rsid w:val="00AA7C4F"/>
    <w:rsid w:val="00AB001C"/>
    <w:rsid w:val="00AB003A"/>
    <w:rsid w:val="00AB02C8"/>
    <w:rsid w:val="00AB0377"/>
    <w:rsid w:val="00AB03C3"/>
    <w:rsid w:val="00AB069E"/>
    <w:rsid w:val="00AB06B8"/>
    <w:rsid w:val="00AB09EF"/>
    <w:rsid w:val="00AB0ADE"/>
    <w:rsid w:val="00AB0CA0"/>
    <w:rsid w:val="00AB102D"/>
    <w:rsid w:val="00AB13E4"/>
    <w:rsid w:val="00AB161F"/>
    <w:rsid w:val="00AB1A33"/>
    <w:rsid w:val="00AB1B40"/>
    <w:rsid w:val="00AB1BBE"/>
    <w:rsid w:val="00AB1C99"/>
    <w:rsid w:val="00AB1DD3"/>
    <w:rsid w:val="00AB24A0"/>
    <w:rsid w:val="00AB2857"/>
    <w:rsid w:val="00AB28D4"/>
    <w:rsid w:val="00AB2C16"/>
    <w:rsid w:val="00AB2DF5"/>
    <w:rsid w:val="00AB3299"/>
    <w:rsid w:val="00AB3418"/>
    <w:rsid w:val="00AB3491"/>
    <w:rsid w:val="00AB3612"/>
    <w:rsid w:val="00AB3615"/>
    <w:rsid w:val="00AB37CA"/>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5CE7"/>
    <w:rsid w:val="00AB5D80"/>
    <w:rsid w:val="00AB5FE2"/>
    <w:rsid w:val="00AB642C"/>
    <w:rsid w:val="00AB64B8"/>
    <w:rsid w:val="00AB689D"/>
    <w:rsid w:val="00AB705B"/>
    <w:rsid w:val="00AB7134"/>
    <w:rsid w:val="00AB74CC"/>
    <w:rsid w:val="00AB76D5"/>
    <w:rsid w:val="00AB7787"/>
    <w:rsid w:val="00AB78AC"/>
    <w:rsid w:val="00AC0580"/>
    <w:rsid w:val="00AC06BF"/>
    <w:rsid w:val="00AC0825"/>
    <w:rsid w:val="00AC1191"/>
    <w:rsid w:val="00AC1281"/>
    <w:rsid w:val="00AC129E"/>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D5C"/>
    <w:rsid w:val="00AC4435"/>
    <w:rsid w:val="00AC4590"/>
    <w:rsid w:val="00AC45D6"/>
    <w:rsid w:val="00AC4676"/>
    <w:rsid w:val="00AC4692"/>
    <w:rsid w:val="00AC4D53"/>
    <w:rsid w:val="00AC4E2E"/>
    <w:rsid w:val="00AC4E88"/>
    <w:rsid w:val="00AC4FEF"/>
    <w:rsid w:val="00AC556E"/>
    <w:rsid w:val="00AC5A3B"/>
    <w:rsid w:val="00AC6031"/>
    <w:rsid w:val="00AC604F"/>
    <w:rsid w:val="00AC61B3"/>
    <w:rsid w:val="00AC63F4"/>
    <w:rsid w:val="00AC642C"/>
    <w:rsid w:val="00AC6482"/>
    <w:rsid w:val="00AC6521"/>
    <w:rsid w:val="00AC690A"/>
    <w:rsid w:val="00AC6D0A"/>
    <w:rsid w:val="00AC704A"/>
    <w:rsid w:val="00AC7949"/>
    <w:rsid w:val="00AC7A9D"/>
    <w:rsid w:val="00AC7F00"/>
    <w:rsid w:val="00AD01DF"/>
    <w:rsid w:val="00AD0286"/>
    <w:rsid w:val="00AD063E"/>
    <w:rsid w:val="00AD0739"/>
    <w:rsid w:val="00AD0EB8"/>
    <w:rsid w:val="00AD10B9"/>
    <w:rsid w:val="00AD115C"/>
    <w:rsid w:val="00AD12BD"/>
    <w:rsid w:val="00AD163D"/>
    <w:rsid w:val="00AD17B7"/>
    <w:rsid w:val="00AD18AD"/>
    <w:rsid w:val="00AD18EF"/>
    <w:rsid w:val="00AD1A0A"/>
    <w:rsid w:val="00AD1ADD"/>
    <w:rsid w:val="00AD1DFE"/>
    <w:rsid w:val="00AD1E27"/>
    <w:rsid w:val="00AD1F06"/>
    <w:rsid w:val="00AD25A2"/>
    <w:rsid w:val="00AD2832"/>
    <w:rsid w:val="00AD284F"/>
    <w:rsid w:val="00AD28A3"/>
    <w:rsid w:val="00AD28FD"/>
    <w:rsid w:val="00AD29CC"/>
    <w:rsid w:val="00AD2ACB"/>
    <w:rsid w:val="00AD2AF3"/>
    <w:rsid w:val="00AD2BAD"/>
    <w:rsid w:val="00AD2D96"/>
    <w:rsid w:val="00AD2FD0"/>
    <w:rsid w:val="00AD3042"/>
    <w:rsid w:val="00AD3047"/>
    <w:rsid w:val="00AD317E"/>
    <w:rsid w:val="00AD31D9"/>
    <w:rsid w:val="00AD3270"/>
    <w:rsid w:val="00AD33C3"/>
    <w:rsid w:val="00AD34A1"/>
    <w:rsid w:val="00AD3B5C"/>
    <w:rsid w:val="00AD3BEC"/>
    <w:rsid w:val="00AD3D6E"/>
    <w:rsid w:val="00AD3EC6"/>
    <w:rsid w:val="00AD4251"/>
    <w:rsid w:val="00AD434D"/>
    <w:rsid w:val="00AD479D"/>
    <w:rsid w:val="00AD47E9"/>
    <w:rsid w:val="00AD48F9"/>
    <w:rsid w:val="00AD4F74"/>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5D2"/>
    <w:rsid w:val="00AD7927"/>
    <w:rsid w:val="00AD7978"/>
    <w:rsid w:val="00AD7DD2"/>
    <w:rsid w:val="00AE0026"/>
    <w:rsid w:val="00AE01BB"/>
    <w:rsid w:val="00AE07A9"/>
    <w:rsid w:val="00AE0D23"/>
    <w:rsid w:val="00AE0E3C"/>
    <w:rsid w:val="00AE0E9E"/>
    <w:rsid w:val="00AE10FD"/>
    <w:rsid w:val="00AE1418"/>
    <w:rsid w:val="00AE14B7"/>
    <w:rsid w:val="00AE18E9"/>
    <w:rsid w:val="00AE1C24"/>
    <w:rsid w:val="00AE1EFD"/>
    <w:rsid w:val="00AE1F01"/>
    <w:rsid w:val="00AE2205"/>
    <w:rsid w:val="00AE232B"/>
    <w:rsid w:val="00AE2BFE"/>
    <w:rsid w:val="00AE3004"/>
    <w:rsid w:val="00AE31B1"/>
    <w:rsid w:val="00AE32F3"/>
    <w:rsid w:val="00AE37ED"/>
    <w:rsid w:val="00AE3C9B"/>
    <w:rsid w:val="00AE3CE1"/>
    <w:rsid w:val="00AE3D85"/>
    <w:rsid w:val="00AE4122"/>
    <w:rsid w:val="00AE4135"/>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71E"/>
    <w:rsid w:val="00AE69BD"/>
    <w:rsid w:val="00AE6D12"/>
    <w:rsid w:val="00AE6EEB"/>
    <w:rsid w:val="00AE70E1"/>
    <w:rsid w:val="00AE723D"/>
    <w:rsid w:val="00AE7992"/>
    <w:rsid w:val="00AE7DB6"/>
    <w:rsid w:val="00AF006B"/>
    <w:rsid w:val="00AF0801"/>
    <w:rsid w:val="00AF09C6"/>
    <w:rsid w:val="00AF0B58"/>
    <w:rsid w:val="00AF10A1"/>
    <w:rsid w:val="00AF1414"/>
    <w:rsid w:val="00AF1B1E"/>
    <w:rsid w:val="00AF1CA8"/>
    <w:rsid w:val="00AF1E07"/>
    <w:rsid w:val="00AF1E49"/>
    <w:rsid w:val="00AF224C"/>
    <w:rsid w:val="00AF28B0"/>
    <w:rsid w:val="00AF2ADF"/>
    <w:rsid w:val="00AF2DED"/>
    <w:rsid w:val="00AF37D2"/>
    <w:rsid w:val="00AF3B1D"/>
    <w:rsid w:val="00AF3C80"/>
    <w:rsid w:val="00AF3C8C"/>
    <w:rsid w:val="00AF40C2"/>
    <w:rsid w:val="00AF41D0"/>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295"/>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840"/>
    <w:rsid w:val="00B039CE"/>
    <w:rsid w:val="00B03C40"/>
    <w:rsid w:val="00B03D26"/>
    <w:rsid w:val="00B0483F"/>
    <w:rsid w:val="00B04D36"/>
    <w:rsid w:val="00B04F11"/>
    <w:rsid w:val="00B054CE"/>
    <w:rsid w:val="00B05688"/>
    <w:rsid w:val="00B05AA9"/>
    <w:rsid w:val="00B05B58"/>
    <w:rsid w:val="00B06102"/>
    <w:rsid w:val="00B063C1"/>
    <w:rsid w:val="00B066A1"/>
    <w:rsid w:val="00B069F3"/>
    <w:rsid w:val="00B06AF4"/>
    <w:rsid w:val="00B06C77"/>
    <w:rsid w:val="00B0715D"/>
    <w:rsid w:val="00B075EC"/>
    <w:rsid w:val="00B0779A"/>
    <w:rsid w:val="00B077B1"/>
    <w:rsid w:val="00B07BA2"/>
    <w:rsid w:val="00B07C76"/>
    <w:rsid w:val="00B07C78"/>
    <w:rsid w:val="00B07CBE"/>
    <w:rsid w:val="00B07F35"/>
    <w:rsid w:val="00B10102"/>
    <w:rsid w:val="00B10125"/>
    <w:rsid w:val="00B105B1"/>
    <w:rsid w:val="00B1093D"/>
    <w:rsid w:val="00B10948"/>
    <w:rsid w:val="00B109D9"/>
    <w:rsid w:val="00B10BD1"/>
    <w:rsid w:val="00B10E49"/>
    <w:rsid w:val="00B111BF"/>
    <w:rsid w:val="00B114C4"/>
    <w:rsid w:val="00B11882"/>
    <w:rsid w:val="00B11E29"/>
    <w:rsid w:val="00B12498"/>
    <w:rsid w:val="00B12D56"/>
    <w:rsid w:val="00B12F78"/>
    <w:rsid w:val="00B12FC6"/>
    <w:rsid w:val="00B137AD"/>
    <w:rsid w:val="00B137BE"/>
    <w:rsid w:val="00B137D3"/>
    <w:rsid w:val="00B1388A"/>
    <w:rsid w:val="00B13930"/>
    <w:rsid w:val="00B13A17"/>
    <w:rsid w:val="00B13BE5"/>
    <w:rsid w:val="00B13F1F"/>
    <w:rsid w:val="00B13F59"/>
    <w:rsid w:val="00B146A7"/>
    <w:rsid w:val="00B147CC"/>
    <w:rsid w:val="00B14DE2"/>
    <w:rsid w:val="00B150B5"/>
    <w:rsid w:val="00B15141"/>
    <w:rsid w:val="00B151C6"/>
    <w:rsid w:val="00B1523B"/>
    <w:rsid w:val="00B1537F"/>
    <w:rsid w:val="00B155B9"/>
    <w:rsid w:val="00B15A0F"/>
    <w:rsid w:val="00B15E96"/>
    <w:rsid w:val="00B16562"/>
    <w:rsid w:val="00B1664C"/>
    <w:rsid w:val="00B167A6"/>
    <w:rsid w:val="00B16B5F"/>
    <w:rsid w:val="00B1714F"/>
    <w:rsid w:val="00B17258"/>
    <w:rsid w:val="00B1736C"/>
    <w:rsid w:val="00B17636"/>
    <w:rsid w:val="00B17744"/>
    <w:rsid w:val="00B20057"/>
    <w:rsid w:val="00B20383"/>
    <w:rsid w:val="00B2043A"/>
    <w:rsid w:val="00B20945"/>
    <w:rsid w:val="00B20B02"/>
    <w:rsid w:val="00B20C68"/>
    <w:rsid w:val="00B20E2B"/>
    <w:rsid w:val="00B21016"/>
    <w:rsid w:val="00B215F9"/>
    <w:rsid w:val="00B217E4"/>
    <w:rsid w:val="00B21936"/>
    <w:rsid w:val="00B21A49"/>
    <w:rsid w:val="00B21CA7"/>
    <w:rsid w:val="00B21D52"/>
    <w:rsid w:val="00B21D72"/>
    <w:rsid w:val="00B21D85"/>
    <w:rsid w:val="00B21DF9"/>
    <w:rsid w:val="00B21F72"/>
    <w:rsid w:val="00B2251A"/>
    <w:rsid w:val="00B22632"/>
    <w:rsid w:val="00B228E3"/>
    <w:rsid w:val="00B22F45"/>
    <w:rsid w:val="00B233A9"/>
    <w:rsid w:val="00B236FC"/>
    <w:rsid w:val="00B238B0"/>
    <w:rsid w:val="00B239CC"/>
    <w:rsid w:val="00B2412B"/>
    <w:rsid w:val="00B2427B"/>
    <w:rsid w:val="00B2479A"/>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CE"/>
    <w:rsid w:val="00B26A2D"/>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742"/>
    <w:rsid w:val="00B31BCA"/>
    <w:rsid w:val="00B31E5F"/>
    <w:rsid w:val="00B31EF5"/>
    <w:rsid w:val="00B32579"/>
    <w:rsid w:val="00B32607"/>
    <w:rsid w:val="00B326BE"/>
    <w:rsid w:val="00B32735"/>
    <w:rsid w:val="00B32821"/>
    <w:rsid w:val="00B32A3B"/>
    <w:rsid w:val="00B32CE3"/>
    <w:rsid w:val="00B3331B"/>
    <w:rsid w:val="00B33595"/>
    <w:rsid w:val="00B33696"/>
    <w:rsid w:val="00B33808"/>
    <w:rsid w:val="00B3396B"/>
    <w:rsid w:val="00B33AF8"/>
    <w:rsid w:val="00B33B68"/>
    <w:rsid w:val="00B33C7B"/>
    <w:rsid w:val="00B33D85"/>
    <w:rsid w:val="00B33DCD"/>
    <w:rsid w:val="00B3416B"/>
    <w:rsid w:val="00B345B5"/>
    <w:rsid w:val="00B345D0"/>
    <w:rsid w:val="00B346E7"/>
    <w:rsid w:val="00B34886"/>
    <w:rsid w:val="00B3488B"/>
    <w:rsid w:val="00B348C6"/>
    <w:rsid w:val="00B34C43"/>
    <w:rsid w:val="00B34CCC"/>
    <w:rsid w:val="00B3511C"/>
    <w:rsid w:val="00B35284"/>
    <w:rsid w:val="00B3539A"/>
    <w:rsid w:val="00B357C2"/>
    <w:rsid w:val="00B359B6"/>
    <w:rsid w:val="00B35CB3"/>
    <w:rsid w:val="00B35E56"/>
    <w:rsid w:val="00B35F8E"/>
    <w:rsid w:val="00B364FF"/>
    <w:rsid w:val="00B36A46"/>
    <w:rsid w:val="00B36AED"/>
    <w:rsid w:val="00B37121"/>
    <w:rsid w:val="00B374DF"/>
    <w:rsid w:val="00B37DF1"/>
    <w:rsid w:val="00B4003E"/>
    <w:rsid w:val="00B40122"/>
    <w:rsid w:val="00B4023E"/>
    <w:rsid w:val="00B40292"/>
    <w:rsid w:val="00B406B2"/>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44F"/>
    <w:rsid w:val="00B42587"/>
    <w:rsid w:val="00B4264E"/>
    <w:rsid w:val="00B4279D"/>
    <w:rsid w:val="00B427E4"/>
    <w:rsid w:val="00B42879"/>
    <w:rsid w:val="00B42B9A"/>
    <w:rsid w:val="00B42D42"/>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22"/>
    <w:rsid w:val="00B47CEF"/>
    <w:rsid w:val="00B47E6A"/>
    <w:rsid w:val="00B500AF"/>
    <w:rsid w:val="00B50445"/>
    <w:rsid w:val="00B50477"/>
    <w:rsid w:val="00B504F7"/>
    <w:rsid w:val="00B50D6B"/>
    <w:rsid w:val="00B50D85"/>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12F"/>
    <w:rsid w:val="00B56136"/>
    <w:rsid w:val="00B56390"/>
    <w:rsid w:val="00B566E0"/>
    <w:rsid w:val="00B567D4"/>
    <w:rsid w:val="00B5685D"/>
    <w:rsid w:val="00B56A86"/>
    <w:rsid w:val="00B56C86"/>
    <w:rsid w:val="00B571F2"/>
    <w:rsid w:val="00B57861"/>
    <w:rsid w:val="00B60158"/>
    <w:rsid w:val="00B60567"/>
    <w:rsid w:val="00B60605"/>
    <w:rsid w:val="00B60768"/>
    <w:rsid w:val="00B607B8"/>
    <w:rsid w:val="00B60B04"/>
    <w:rsid w:val="00B60DF7"/>
    <w:rsid w:val="00B60E6E"/>
    <w:rsid w:val="00B61296"/>
    <w:rsid w:val="00B6184F"/>
    <w:rsid w:val="00B619AF"/>
    <w:rsid w:val="00B61B85"/>
    <w:rsid w:val="00B61CFF"/>
    <w:rsid w:val="00B61F53"/>
    <w:rsid w:val="00B61F70"/>
    <w:rsid w:val="00B6237B"/>
    <w:rsid w:val="00B624C5"/>
    <w:rsid w:val="00B62505"/>
    <w:rsid w:val="00B62A18"/>
    <w:rsid w:val="00B62B17"/>
    <w:rsid w:val="00B6305A"/>
    <w:rsid w:val="00B634C4"/>
    <w:rsid w:val="00B63870"/>
    <w:rsid w:val="00B63904"/>
    <w:rsid w:val="00B63A16"/>
    <w:rsid w:val="00B640AB"/>
    <w:rsid w:val="00B64398"/>
    <w:rsid w:val="00B64484"/>
    <w:rsid w:val="00B64596"/>
    <w:rsid w:val="00B645EE"/>
    <w:rsid w:val="00B645F8"/>
    <w:rsid w:val="00B646A6"/>
    <w:rsid w:val="00B64984"/>
    <w:rsid w:val="00B64995"/>
    <w:rsid w:val="00B64F6D"/>
    <w:rsid w:val="00B652B0"/>
    <w:rsid w:val="00B65378"/>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7D8"/>
    <w:rsid w:val="00B70A49"/>
    <w:rsid w:val="00B70EDB"/>
    <w:rsid w:val="00B713B9"/>
    <w:rsid w:val="00B71A24"/>
    <w:rsid w:val="00B71A5D"/>
    <w:rsid w:val="00B72184"/>
    <w:rsid w:val="00B72267"/>
    <w:rsid w:val="00B7273B"/>
    <w:rsid w:val="00B727B8"/>
    <w:rsid w:val="00B7287A"/>
    <w:rsid w:val="00B72DF8"/>
    <w:rsid w:val="00B7301A"/>
    <w:rsid w:val="00B73259"/>
    <w:rsid w:val="00B73453"/>
    <w:rsid w:val="00B73522"/>
    <w:rsid w:val="00B736ED"/>
    <w:rsid w:val="00B737C7"/>
    <w:rsid w:val="00B73B30"/>
    <w:rsid w:val="00B741DB"/>
    <w:rsid w:val="00B74409"/>
    <w:rsid w:val="00B74570"/>
    <w:rsid w:val="00B74572"/>
    <w:rsid w:val="00B74A0D"/>
    <w:rsid w:val="00B74BCC"/>
    <w:rsid w:val="00B74EC0"/>
    <w:rsid w:val="00B7518B"/>
    <w:rsid w:val="00B75667"/>
    <w:rsid w:val="00B758C6"/>
    <w:rsid w:val="00B759CD"/>
    <w:rsid w:val="00B75A72"/>
    <w:rsid w:val="00B75ED2"/>
    <w:rsid w:val="00B76324"/>
    <w:rsid w:val="00B76727"/>
    <w:rsid w:val="00B76CD5"/>
    <w:rsid w:val="00B77062"/>
    <w:rsid w:val="00B7709F"/>
    <w:rsid w:val="00B772C3"/>
    <w:rsid w:val="00B774CC"/>
    <w:rsid w:val="00B77632"/>
    <w:rsid w:val="00B778C2"/>
    <w:rsid w:val="00B77D8A"/>
    <w:rsid w:val="00B8010B"/>
    <w:rsid w:val="00B8053A"/>
    <w:rsid w:val="00B8053B"/>
    <w:rsid w:val="00B80795"/>
    <w:rsid w:val="00B80F5B"/>
    <w:rsid w:val="00B811F0"/>
    <w:rsid w:val="00B812E8"/>
    <w:rsid w:val="00B81402"/>
    <w:rsid w:val="00B81419"/>
    <w:rsid w:val="00B81578"/>
    <w:rsid w:val="00B81684"/>
    <w:rsid w:val="00B817F4"/>
    <w:rsid w:val="00B81948"/>
    <w:rsid w:val="00B8206A"/>
    <w:rsid w:val="00B821AB"/>
    <w:rsid w:val="00B82519"/>
    <w:rsid w:val="00B82942"/>
    <w:rsid w:val="00B82ED6"/>
    <w:rsid w:val="00B82FC1"/>
    <w:rsid w:val="00B830F7"/>
    <w:rsid w:val="00B8321E"/>
    <w:rsid w:val="00B832F4"/>
    <w:rsid w:val="00B8370D"/>
    <w:rsid w:val="00B83735"/>
    <w:rsid w:val="00B83AC3"/>
    <w:rsid w:val="00B83D8E"/>
    <w:rsid w:val="00B83DF6"/>
    <w:rsid w:val="00B8408E"/>
    <w:rsid w:val="00B848F5"/>
    <w:rsid w:val="00B84920"/>
    <w:rsid w:val="00B84BE8"/>
    <w:rsid w:val="00B854E9"/>
    <w:rsid w:val="00B85883"/>
    <w:rsid w:val="00B85909"/>
    <w:rsid w:val="00B85C6F"/>
    <w:rsid w:val="00B85D81"/>
    <w:rsid w:val="00B85D82"/>
    <w:rsid w:val="00B85E03"/>
    <w:rsid w:val="00B85F67"/>
    <w:rsid w:val="00B85F7C"/>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D85"/>
    <w:rsid w:val="00B87E73"/>
    <w:rsid w:val="00B90427"/>
    <w:rsid w:val="00B90516"/>
    <w:rsid w:val="00B905F2"/>
    <w:rsid w:val="00B90DC8"/>
    <w:rsid w:val="00B90F03"/>
    <w:rsid w:val="00B911A5"/>
    <w:rsid w:val="00B91356"/>
    <w:rsid w:val="00B917B0"/>
    <w:rsid w:val="00B91A0A"/>
    <w:rsid w:val="00B91E0F"/>
    <w:rsid w:val="00B926E0"/>
    <w:rsid w:val="00B928B6"/>
    <w:rsid w:val="00B92A14"/>
    <w:rsid w:val="00B93042"/>
    <w:rsid w:val="00B936A4"/>
    <w:rsid w:val="00B93B55"/>
    <w:rsid w:val="00B93C36"/>
    <w:rsid w:val="00B94054"/>
    <w:rsid w:val="00B94253"/>
    <w:rsid w:val="00B9426C"/>
    <w:rsid w:val="00B9436E"/>
    <w:rsid w:val="00B948C6"/>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7C4"/>
    <w:rsid w:val="00BA17CA"/>
    <w:rsid w:val="00BA185A"/>
    <w:rsid w:val="00BA1C20"/>
    <w:rsid w:val="00BA1D03"/>
    <w:rsid w:val="00BA1E0C"/>
    <w:rsid w:val="00BA2234"/>
    <w:rsid w:val="00BA233D"/>
    <w:rsid w:val="00BA2641"/>
    <w:rsid w:val="00BA270E"/>
    <w:rsid w:val="00BA2729"/>
    <w:rsid w:val="00BA283C"/>
    <w:rsid w:val="00BA2AEB"/>
    <w:rsid w:val="00BA2C02"/>
    <w:rsid w:val="00BA2C95"/>
    <w:rsid w:val="00BA2DED"/>
    <w:rsid w:val="00BA2E29"/>
    <w:rsid w:val="00BA3129"/>
    <w:rsid w:val="00BA3909"/>
    <w:rsid w:val="00BA3974"/>
    <w:rsid w:val="00BA3CC9"/>
    <w:rsid w:val="00BA3F29"/>
    <w:rsid w:val="00BA40BE"/>
    <w:rsid w:val="00BA4232"/>
    <w:rsid w:val="00BA48DE"/>
    <w:rsid w:val="00BA48E0"/>
    <w:rsid w:val="00BA49E0"/>
    <w:rsid w:val="00BA49F3"/>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A7F61"/>
    <w:rsid w:val="00BB0528"/>
    <w:rsid w:val="00BB070E"/>
    <w:rsid w:val="00BB095E"/>
    <w:rsid w:val="00BB0B3E"/>
    <w:rsid w:val="00BB0D75"/>
    <w:rsid w:val="00BB0FE6"/>
    <w:rsid w:val="00BB1211"/>
    <w:rsid w:val="00BB1393"/>
    <w:rsid w:val="00BB1905"/>
    <w:rsid w:val="00BB1966"/>
    <w:rsid w:val="00BB1B24"/>
    <w:rsid w:val="00BB1C4F"/>
    <w:rsid w:val="00BB1D50"/>
    <w:rsid w:val="00BB225D"/>
    <w:rsid w:val="00BB2604"/>
    <w:rsid w:val="00BB2649"/>
    <w:rsid w:val="00BB2697"/>
    <w:rsid w:val="00BB2F21"/>
    <w:rsid w:val="00BB31D2"/>
    <w:rsid w:val="00BB3355"/>
    <w:rsid w:val="00BB365A"/>
    <w:rsid w:val="00BB3E1D"/>
    <w:rsid w:val="00BB3F4C"/>
    <w:rsid w:val="00BB3F8F"/>
    <w:rsid w:val="00BB3FE9"/>
    <w:rsid w:val="00BB424D"/>
    <w:rsid w:val="00BB4644"/>
    <w:rsid w:val="00BB46ED"/>
    <w:rsid w:val="00BB4A42"/>
    <w:rsid w:val="00BB4B3D"/>
    <w:rsid w:val="00BB5321"/>
    <w:rsid w:val="00BB56F2"/>
    <w:rsid w:val="00BB56F3"/>
    <w:rsid w:val="00BB5AFD"/>
    <w:rsid w:val="00BB5D3B"/>
    <w:rsid w:val="00BB6037"/>
    <w:rsid w:val="00BB617E"/>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139"/>
    <w:rsid w:val="00BC16BF"/>
    <w:rsid w:val="00BC17EF"/>
    <w:rsid w:val="00BC1A03"/>
    <w:rsid w:val="00BC1A99"/>
    <w:rsid w:val="00BC1D3A"/>
    <w:rsid w:val="00BC1EF1"/>
    <w:rsid w:val="00BC201A"/>
    <w:rsid w:val="00BC2BC7"/>
    <w:rsid w:val="00BC2F45"/>
    <w:rsid w:val="00BC321B"/>
    <w:rsid w:val="00BC344E"/>
    <w:rsid w:val="00BC352D"/>
    <w:rsid w:val="00BC36A6"/>
    <w:rsid w:val="00BC38B8"/>
    <w:rsid w:val="00BC3CF8"/>
    <w:rsid w:val="00BC3D28"/>
    <w:rsid w:val="00BC3FE8"/>
    <w:rsid w:val="00BC446C"/>
    <w:rsid w:val="00BC499E"/>
    <w:rsid w:val="00BC52E1"/>
    <w:rsid w:val="00BC538A"/>
    <w:rsid w:val="00BC5BEC"/>
    <w:rsid w:val="00BC5CE2"/>
    <w:rsid w:val="00BC5D13"/>
    <w:rsid w:val="00BC64EA"/>
    <w:rsid w:val="00BC68C0"/>
    <w:rsid w:val="00BC7019"/>
    <w:rsid w:val="00BC709E"/>
    <w:rsid w:val="00BC70D5"/>
    <w:rsid w:val="00BC7133"/>
    <w:rsid w:val="00BC71C5"/>
    <w:rsid w:val="00BC7659"/>
    <w:rsid w:val="00BC77C9"/>
    <w:rsid w:val="00BC783B"/>
    <w:rsid w:val="00BC7A42"/>
    <w:rsid w:val="00BD0025"/>
    <w:rsid w:val="00BD013E"/>
    <w:rsid w:val="00BD01F4"/>
    <w:rsid w:val="00BD0238"/>
    <w:rsid w:val="00BD03AD"/>
    <w:rsid w:val="00BD07D3"/>
    <w:rsid w:val="00BD082C"/>
    <w:rsid w:val="00BD0FC4"/>
    <w:rsid w:val="00BD140B"/>
    <w:rsid w:val="00BD1624"/>
    <w:rsid w:val="00BD1E68"/>
    <w:rsid w:val="00BD238C"/>
    <w:rsid w:val="00BD2800"/>
    <w:rsid w:val="00BD293A"/>
    <w:rsid w:val="00BD2A08"/>
    <w:rsid w:val="00BD2F55"/>
    <w:rsid w:val="00BD32CE"/>
    <w:rsid w:val="00BD34A4"/>
    <w:rsid w:val="00BD3681"/>
    <w:rsid w:val="00BD3806"/>
    <w:rsid w:val="00BD3837"/>
    <w:rsid w:val="00BD386B"/>
    <w:rsid w:val="00BD3BEB"/>
    <w:rsid w:val="00BD3C69"/>
    <w:rsid w:val="00BD3D7A"/>
    <w:rsid w:val="00BD4235"/>
    <w:rsid w:val="00BD4522"/>
    <w:rsid w:val="00BD45AD"/>
    <w:rsid w:val="00BD46F4"/>
    <w:rsid w:val="00BD5226"/>
    <w:rsid w:val="00BD5A26"/>
    <w:rsid w:val="00BD5C17"/>
    <w:rsid w:val="00BD5CD4"/>
    <w:rsid w:val="00BD5FA4"/>
    <w:rsid w:val="00BD6509"/>
    <w:rsid w:val="00BD689C"/>
    <w:rsid w:val="00BD6A22"/>
    <w:rsid w:val="00BD6D88"/>
    <w:rsid w:val="00BD7A82"/>
    <w:rsid w:val="00BD7CA0"/>
    <w:rsid w:val="00BD7E5E"/>
    <w:rsid w:val="00BD7F27"/>
    <w:rsid w:val="00BD7F9E"/>
    <w:rsid w:val="00BE072F"/>
    <w:rsid w:val="00BE0C09"/>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E62"/>
    <w:rsid w:val="00BE5164"/>
    <w:rsid w:val="00BE5507"/>
    <w:rsid w:val="00BE5519"/>
    <w:rsid w:val="00BE57B1"/>
    <w:rsid w:val="00BE5813"/>
    <w:rsid w:val="00BE5B32"/>
    <w:rsid w:val="00BE60DC"/>
    <w:rsid w:val="00BE6149"/>
    <w:rsid w:val="00BE617C"/>
    <w:rsid w:val="00BE63A8"/>
    <w:rsid w:val="00BE6576"/>
    <w:rsid w:val="00BE65B3"/>
    <w:rsid w:val="00BE689B"/>
    <w:rsid w:val="00BE6D82"/>
    <w:rsid w:val="00BE6D8D"/>
    <w:rsid w:val="00BE72B2"/>
    <w:rsid w:val="00BE749F"/>
    <w:rsid w:val="00BE7B27"/>
    <w:rsid w:val="00BF0058"/>
    <w:rsid w:val="00BF00A5"/>
    <w:rsid w:val="00BF0207"/>
    <w:rsid w:val="00BF02E6"/>
    <w:rsid w:val="00BF04FF"/>
    <w:rsid w:val="00BF08B0"/>
    <w:rsid w:val="00BF0910"/>
    <w:rsid w:val="00BF0CEB"/>
    <w:rsid w:val="00BF0D41"/>
    <w:rsid w:val="00BF0F15"/>
    <w:rsid w:val="00BF10D2"/>
    <w:rsid w:val="00BF1113"/>
    <w:rsid w:val="00BF120B"/>
    <w:rsid w:val="00BF12B0"/>
    <w:rsid w:val="00BF1309"/>
    <w:rsid w:val="00BF159B"/>
    <w:rsid w:val="00BF1A29"/>
    <w:rsid w:val="00BF1C23"/>
    <w:rsid w:val="00BF1E00"/>
    <w:rsid w:val="00BF204A"/>
    <w:rsid w:val="00BF2188"/>
    <w:rsid w:val="00BF21AD"/>
    <w:rsid w:val="00BF220D"/>
    <w:rsid w:val="00BF2372"/>
    <w:rsid w:val="00BF2641"/>
    <w:rsid w:val="00BF2817"/>
    <w:rsid w:val="00BF31CB"/>
    <w:rsid w:val="00BF33F8"/>
    <w:rsid w:val="00BF368F"/>
    <w:rsid w:val="00BF3BCB"/>
    <w:rsid w:val="00BF3C10"/>
    <w:rsid w:val="00BF3CDC"/>
    <w:rsid w:val="00BF3E35"/>
    <w:rsid w:val="00BF3FE6"/>
    <w:rsid w:val="00BF3FFA"/>
    <w:rsid w:val="00BF43E6"/>
    <w:rsid w:val="00BF46F1"/>
    <w:rsid w:val="00BF493C"/>
    <w:rsid w:val="00BF4B69"/>
    <w:rsid w:val="00BF5200"/>
    <w:rsid w:val="00BF552B"/>
    <w:rsid w:val="00BF56A8"/>
    <w:rsid w:val="00BF60E3"/>
    <w:rsid w:val="00BF6305"/>
    <w:rsid w:val="00BF63BB"/>
    <w:rsid w:val="00BF641F"/>
    <w:rsid w:val="00BF6C19"/>
    <w:rsid w:val="00BF6FBF"/>
    <w:rsid w:val="00BF70A1"/>
    <w:rsid w:val="00BF70F8"/>
    <w:rsid w:val="00BF71E1"/>
    <w:rsid w:val="00BF7516"/>
    <w:rsid w:val="00BF7739"/>
    <w:rsid w:val="00BF7B97"/>
    <w:rsid w:val="00BF7C67"/>
    <w:rsid w:val="00BF7D39"/>
    <w:rsid w:val="00BF7D43"/>
    <w:rsid w:val="00C00441"/>
    <w:rsid w:val="00C004B1"/>
    <w:rsid w:val="00C00686"/>
    <w:rsid w:val="00C00A9C"/>
    <w:rsid w:val="00C00F1A"/>
    <w:rsid w:val="00C00F64"/>
    <w:rsid w:val="00C010F5"/>
    <w:rsid w:val="00C01154"/>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50D"/>
    <w:rsid w:val="00C039B6"/>
    <w:rsid w:val="00C03B7B"/>
    <w:rsid w:val="00C03D06"/>
    <w:rsid w:val="00C04591"/>
    <w:rsid w:val="00C04C60"/>
    <w:rsid w:val="00C04EB3"/>
    <w:rsid w:val="00C05182"/>
    <w:rsid w:val="00C056CD"/>
    <w:rsid w:val="00C057E0"/>
    <w:rsid w:val="00C05863"/>
    <w:rsid w:val="00C05B81"/>
    <w:rsid w:val="00C05C20"/>
    <w:rsid w:val="00C06066"/>
    <w:rsid w:val="00C06119"/>
    <w:rsid w:val="00C0648A"/>
    <w:rsid w:val="00C06690"/>
    <w:rsid w:val="00C066AB"/>
    <w:rsid w:val="00C067A4"/>
    <w:rsid w:val="00C06807"/>
    <w:rsid w:val="00C06A5C"/>
    <w:rsid w:val="00C06BE9"/>
    <w:rsid w:val="00C071C6"/>
    <w:rsid w:val="00C07A6C"/>
    <w:rsid w:val="00C07AA6"/>
    <w:rsid w:val="00C07AE3"/>
    <w:rsid w:val="00C07AE4"/>
    <w:rsid w:val="00C07C81"/>
    <w:rsid w:val="00C07D3E"/>
    <w:rsid w:val="00C10305"/>
    <w:rsid w:val="00C10599"/>
    <w:rsid w:val="00C106DF"/>
    <w:rsid w:val="00C10857"/>
    <w:rsid w:val="00C109B4"/>
    <w:rsid w:val="00C1114F"/>
    <w:rsid w:val="00C11183"/>
    <w:rsid w:val="00C11197"/>
    <w:rsid w:val="00C111D9"/>
    <w:rsid w:val="00C1181D"/>
    <w:rsid w:val="00C11C33"/>
    <w:rsid w:val="00C11C73"/>
    <w:rsid w:val="00C11EC6"/>
    <w:rsid w:val="00C11FE5"/>
    <w:rsid w:val="00C11FF6"/>
    <w:rsid w:val="00C121A7"/>
    <w:rsid w:val="00C1282B"/>
    <w:rsid w:val="00C1286D"/>
    <w:rsid w:val="00C12EB5"/>
    <w:rsid w:val="00C134A1"/>
    <w:rsid w:val="00C13504"/>
    <w:rsid w:val="00C13AAA"/>
    <w:rsid w:val="00C13B94"/>
    <w:rsid w:val="00C13C8A"/>
    <w:rsid w:val="00C13CA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62C"/>
    <w:rsid w:val="00C166C0"/>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3EB"/>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8B3"/>
    <w:rsid w:val="00C25D3A"/>
    <w:rsid w:val="00C26190"/>
    <w:rsid w:val="00C263AE"/>
    <w:rsid w:val="00C264A7"/>
    <w:rsid w:val="00C264AB"/>
    <w:rsid w:val="00C26871"/>
    <w:rsid w:val="00C2695A"/>
    <w:rsid w:val="00C27075"/>
    <w:rsid w:val="00C274BE"/>
    <w:rsid w:val="00C276DD"/>
    <w:rsid w:val="00C27748"/>
    <w:rsid w:val="00C307FA"/>
    <w:rsid w:val="00C30A17"/>
    <w:rsid w:val="00C30D3F"/>
    <w:rsid w:val="00C30DAA"/>
    <w:rsid w:val="00C30EBD"/>
    <w:rsid w:val="00C30F1F"/>
    <w:rsid w:val="00C30FB5"/>
    <w:rsid w:val="00C30FB7"/>
    <w:rsid w:val="00C30FF8"/>
    <w:rsid w:val="00C31089"/>
    <w:rsid w:val="00C31237"/>
    <w:rsid w:val="00C313BF"/>
    <w:rsid w:val="00C314DF"/>
    <w:rsid w:val="00C3175A"/>
    <w:rsid w:val="00C319A2"/>
    <w:rsid w:val="00C31CC4"/>
    <w:rsid w:val="00C3208A"/>
    <w:rsid w:val="00C32126"/>
    <w:rsid w:val="00C323AC"/>
    <w:rsid w:val="00C32417"/>
    <w:rsid w:val="00C32A9C"/>
    <w:rsid w:val="00C32BB7"/>
    <w:rsid w:val="00C3306A"/>
    <w:rsid w:val="00C332E0"/>
    <w:rsid w:val="00C33373"/>
    <w:rsid w:val="00C33693"/>
    <w:rsid w:val="00C339DE"/>
    <w:rsid w:val="00C33AA7"/>
    <w:rsid w:val="00C33DCE"/>
    <w:rsid w:val="00C3463A"/>
    <w:rsid w:val="00C346BB"/>
    <w:rsid w:val="00C346C1"/>
    <w:rsid w:val="00C34760"/>
    <w:rsid w:val="00C3488A"/>
    <w:rsid w:val="00C34C05"/>
    <w:rsid w:val="00C34D15"/>
    <w:rsid w:val="00C34DD9"/>
    <w:rsid w:val="00C355F7"/>
    <w:rsid w:val="00C3566B"/>
    <w:rsid w:val="00C35A42"/>
    <w:rsid w:val="00C35B23"/>
    <w:rsid w:val="00C35C35"/>
    <w:rsid w:val="00C35CF8"/>
    <w:rsid w:val="00C35D4F"/>
    <w:rsid w:val="00C35D83"/>
    <w:rsid w:val="00C36503"/>
    <w:rsid w:val="00C3661D"/>
    <w:rsid w:val="00C36AFD"/>
    <w:rsid w:val="00C36DAD"/>
    <w:rsid w:val="00C37050"/>
    <w:rsid w:val="00C373E4"/>
    <w:rsid w:val="00C37493"/>
    <w:rsid w:val="00C37CD6"/>
    <w:rsid w:val="00C37E45"/>
    <w:rsid w:val="00C37F07"/>
    <w:rsid w:val="00C37F85"/>
    <w:rsid w:val="00C37F8D"/>
    <w:rsid w:val="00C400E7"/>
    <w:rsid w:val="00C4018E"/>
    <w:rsid w:val="00C4021F"/>
    <w:rsid w:val="00C40262"/>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2FD"/>
    <w:rsid w:val="00C439C5"/>
    <w:rsid w:val="00C439F0"/>
    <w:rsid w:val="00C43CE7"/>
    <w:rsid w:val="00C43EA8"/>
    <w:rsid w:val="00C43FEF"/>
    <w:rsid w:val="00C44189"/>
    <w:rsid w:val="00C4424F"/>
    <w:rsid w:val="00C4451B"/>
    <w:rsid w:val="00C4464F"/>
    <w:rsid w:val="00C447FB"/>
    <w:rsid w:val="00C44ADA"/>
    <w:rsid w:val="00C45A9C"/>
    <w:rsid w:val="00C45B3D"/>
    <w:rsid w:val="00C45D30"/>
    <w:rsid w:val="00C466A6"/>
    <w:rsid w:val="00C466F1"/>
    <w:rsid w:val="00C46B53"/>
    <w:rsid w:val="00C46F1A"/>
    <w:rsid w:val="00C470AA"/>
    <w:rsid w:val="00C4740A"/>
    <w:rsid w:val="00C47823"/>
    <w:rsid w:val="00C47838"/>
    <w:rsid w:val="00C4793F"/>
    <w:rsid w:val="00C47AE8"/>
    <w:rsid w:val="00C50081"/>
    <w:rsid w:val="00C504F5"/>
    <w:rsid w:val="00C5086B"/>
    <w:rsid w:val="00C508B7"/>
    <w:rsid w:val="00C51589"/>
    <w:rsid w:val="00C51875"/>
    <w:rsid w:val="00C51D11"/>
    <w:rsid w:val="00C5248C"/>
    <w:rsid w:val="00C5257E"/>
    <w:rsid w:val="00C526A5"/>
    <w:rsid w:val="00C5282E"/>
    <w:rsid w:val="00C52A41"/>
    <w:rsid w:val="00C52A73"/>
    <w:rsid w:val="00C53183"/>
    <w:rsid w:val="00C531B4"/>
    <w:rsid w:val="00C532B0"/>
    <w:rsid w:val="00C532F9"/>
    <w:rsid w:val="00C533DA"/>
    <w:rsid w:val="00C53412"/>
    <w:rsid w:val="00C53766"/>
    <w:rsid w:val="00C53E22"/>
    <w:rsid w:val="00C540FE"/>
    <w:rsid w:val="00C5430E"/>
    <w:rsid w:val="00C5432C"/>
    <w:rsid w:val="00C544BC"/>
    <w:rsid w:val="00C54AA4"/>
    <w:rsid w:val="00C54C62"/>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C6"/>
    <w:rsid w:val="00C60002"/>
    <w:rsid w:val="00C601EB"/>
    <w:rsid w:val="00C60EC1"/>
    <w:rsid w:val="00C60FFC"/>
    <w:rsid w:val="00C6119C"/>
    <w:rsid w:val="00C61348"/>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3E87"/>
    <w:rsid w:val="00C64023"/>
    <w:rsid w:val="00C6419F"/>
    <w:rsid w:val="00C64376"/>
    <w:rsid w:val="00C64438"/>
    <w:rsid w:val="00C6451B"/>
    <w:rsid w:val="00C64626"/>
    <w:rsid w:val="00C646DA"/>
    <w:rsid w:val="00C64849"/>
    <w:rsid w:val="00C64EDC"/>
    <w:rsid w:val="00C6526B"/>
    <w:rsid w:val="00C65309"/>
    <w:rsid w:val="00C656EC"/>
    <w:rsid w:val="00C65AD2"/>
    <w:rsid w:val="00C65C31"/>
    <w:rsid w:val="00C65D24"/>
    <w:rsid w:val="00C65F58"/>
    <w:rsid w:val="00C66129"/>
    <w:rsid w:val="00C6616A"/>
    <w:rsid w:val="00C66178"/>
    <w:rsid w:val="00C66571"/>
    <w:rsid w:val="00C6660C"/>
    <w:rsid w:val="00C666DB"/>
    <w:rsid w:val="00C667F6"/>
    <w:rsid w:val="00C66A25"/>
    <w:rsid w:val="00C66AC7"/>
    <w:rsid w:val="00C66B89"/>
    <w:rsid w:val="00C66BB8"/>
    <w:rsid w:val="00C66C34"/>
    <w:rsid w:val="00C671D3"/>
    <w:rsid w:val="00C67231"/>
    <w:rsid w:val="00C7040D"/>
    <w:rsid w:val="00C70870"/>
    <w:rsid w:val="00C70B8C"/>
    <w:rsid w:val="00C710F5"/>
    <w:rsid w:val="00C71292"/>
    <w:rsid w:val="00C71468"/>
    <w:rsid w:val="00C71A91"/>
    <w:rsid w:val="00C72280"/>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71A"/>
    <w:rsid w:val="00C76A0C"/>
    <w:rsid w:val="00C76A56"/>
    <w:rsid w:val="00C76A6B"/>
    <w:rsid w:val="00C76B02"/>
    <w:rsid w:val="00C76C3A"/>
    <w:rsid w:val="00C76D25"/>
    <w:rsid w:val="00C76F37"/>
    <w:rsid w:val="00C7731D"/>
    <w:rsid w:val="00C77465"/>
    <w:rsid w:val="00C7799E"/>
    <w:rsid w:val="00C77C55"/>
    <w:rsid w:val="00C77DF7"/>
    <w:rsid w:val="00C8020B"/>
    <w:rsid w:val="00C80547"/>
    <w:rsid w:val="00C8066E"/>
    <w:rsid w:val="00C80C97"/>
    <w:rsid w:val="00C80ECB"/>
    <w:rsid w:val="00C8198E"/>
    <w:rsid w:val="00C81B30"/>
    <w:rsid w:val="00C81D3B"/>
    <w:rsid w:val="00C82196"/>
    <w:rsid w:val="00C82221"/>
    <w:rsid w:val="00C82387"/>
    <w:rsid w:val="00C823AF"/>
    <w:rsid w:val="00C82502"/>
    <w:rsid w:val="00C82B59"/>
    <w:rsid w:val="00C8329E"/>
    <w:rsid w:val="00C832C1"/>
    <w:rsid w:val="00C8346E"/>
    <w:rsid w:val="00C83DC3"/>
    <w:rsid w:val="00C84332"/>
    <w:rsid w:val="00C845EC"/>
    <w:rsid w:val="00C8473D"/>
    <w:rsid w:val="00C84767"/>
    <w:rsid w:val="00C8534D"/>
    <w:rsid w:val="00C85FA0"/>
    <w:rsid w:val="00C860AB"/>
    <w:rsid w:val="00C8624E"/>
    <w:rsid w:val="00C86379"/>
    <w:rsid w:val="00C864DB"/>
    <w:rsid w:val="00C86959"/>
    <w:rsid w:val="00C87004"/>
    <w:rsid w:val="00C87079"/>
    <w:rsid w:val="00C8781D"/>
    <w:rsid w:val="00C879A3"/>
    <w:rsid w:val="00C87E17"/>
    <w:rsid w:val="00C87F85"/>
    <w:rsid w:val="00C901A9"/>
    <w:rsid w:val="00C902B6"/>
    <w:rsid w:val="00C905AC"/>
    <w:rsid w:val="00C905C1"/>
    <w:rsid w:val="00C906DB"/>
    <w:rsid w:val="00C90B35"/>
    <w:rsid w:val="00C90B43"/>
    <w:rsid w:val="00C90C65"/>
    <w:rsid w:val="00C90C82"/>
    <w:rsid w:val="00C90F7A"/>
    <w:rsid w:val="00C9103A"/>
    <w:rsid w:val="00C9111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E45"/>
    <w:rsid w:val="00C95014"/>
    <w:rsid w:val="00C95300"/>
    <w:rsid w:val="00C95548"/>
    <w:rsid w:val="00C95730"/>
    <w:rsid w:val="00C957FF"/>
    <w:rsid w:val="00C958E1"/>
    <w:rsid w:val="00C95962"/>
    <w:rsid w:val="00C95A44"/>
    <w:rsid w:val="00C95CB6"/>
    <w:rsid w:val="00C95CD4"/>
    <w:rsid w:val="00C960C6"/>
    <w:rsid w:val="00C96127"/>
    <w:rsid w:val="00C965BF"/>
    <w:rsid w:val="00C96FE0"/>
    <w:rsid w:val="00C97177"/>
    <w:rsid w:val="00C973E2"/>
    <w:rsid w:val="00C97AF1"/>
    <w:rsid w:val="00C97E38"/>
    <w:rsid w:val="00CA0151"/>
    <w:rsid w:val="00CA06FB"/>
    <w:rsid w:val="00CA09AA"/>
    <w:rsid w:val="00CA0A5D"/>
    <w:rsid w:val="00CA0BAF"/>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9F1"/>
    <w:rsid w:val="00CA3CF5"/>
    <w:rsid w:val="00CA4A3F"/>
    <w:rsid w:val="00CA4C14"/>
    <w:rsid w:val="00CA4C92"/>
    <w:rsid w:val="00CA4DC3"/>
    <w:rsid w:val="00CA4F37"/>
    <w:rsid w:val="00CA4FE7"/>
    <w:rsid w:val="00CA51A0"/>
    <w:rsid w:val="00CA523C"/>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C2A"/>
    <w:rsid w:val="00CB0D1C"/>
    <w:rsid w:val="00CB0D30"/>
    <w:rsid w:val="00CB11BD"/>
    <w:rsid w:val="00CB120B"/>
    <w:rsid w:val="00CB1368"/>
    <w:rsid w:val="00CB1467"/>
    <w:rsid w:val="00CB16B2"/>
    <w:rsid w:val="00CB1D87"/>
    <w:rsid w:val="00CB1D94"/>
    <w:rsid w:val="00CB1F2A"/>
    <w:rsid w:val="00CB259D"/>
    <w:rsid w:val="00CB2836"/>
    <w:rsid w:val="00CB2C9E"/>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C23"/>
    <w:rsid w:val="00CB5CB4"/>
    <w:rsid w:val="00CB5D2C"/>
    <w:rsid w:val="00CB5EF8"/>
    <w:rsid w:val="00CB60DD"/>
    <w:rsid w:val="00CB615F"/>
    <w:rsid w:val="00CB6343"/>
    <w:rsid w:val="00CB6422"/>
    <w:rsid w:val="00CB64EF"/>
    <w:rsid w:val="00CB659C"/>
    <w:rsid w:val="00CB68B3"/>
    <w:rsid w:val="00CB6A2A"/>
    <w:rsid w:val="00CB6F9E"/>
    <w:rsid w:val="00CB70A7"/>
    <w:rsid w:val="00CB7648"/>
    <w:rsid w:val="00CB7880"/>
    <w:rsid w:val="00CB7B54"/>
    <w:rsid w:val="00CB7B6B"/>
    <w:rsid w:val="00CC002E"/>
    <w:rsid w:val="00CC009C"/>
    <w:rsid w:val="00CC00B7"/>
    <w:rsid w:val="00CC0225"/>
    <w:rsid w:val="00CC034B"/>
    <w:rsid w:val="00CC05BB"/>
    <w:rsid w:val="00CC0AA7"/>
    <w:rsid w:val="00CC0E56"/>
    <w:rsid w:val="00CC0F04"/>
    <w:rsid w:val="00CC1258"/>
    <w:rsid w:val="00CC126D"/>
    <w:rsid w:val="00CC15B0"/>
    <w:rsid w:val="00CC15B9"/>
    <w:rsid w:val="00CC15D9"/>
    <w:rsid w:val="00CC172A"/>
    <w:rsid w:val="00CC1A18"/>
    <w:rsid w:val="00CC1C42"/>
    <w:rsid w:val="00CC1C8C"/>
    <w:rsid w:val="00CC1D5C"/>
    <w:rsid w:val="00CC1E3E"/>
    <w:rsid w:val="00CC1E40"/>
    <w:rsid w:val="00CC2559"/>
    <w:rsid w:val="00CC257B"/>
    <w:rsid w:val="00CC2726"/>
    <w:rsid w:val="00CC27F5"/>
    <w:rsid w:val="00CC2A3A"/>
    <w:rsid w:val="00CC2CF7"/>
    <w:rsid w:val="00CC2D0E"/>
    <w:rsid w:val="00CC2D18"/>
    <w:rsid w:val="00CC2EFE"/>
    <w:rsid w:val="00CC3949"/>
    <w:rsid w:val="00CC3E8C"/>
    <w:rsid w:val="00CC3F84"/>
    <w:rsid w:val="00CC4006"/>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0"/>
    <w:rsid w:val="00CC606C"/>
    <w:rsid w:val="00CC6224"/>
    <w:rsid w:val="00CC68B6"/>
    <w:rsid w:val="00CC6934"/>
    <w:rsid w:val="00CC6B0F"/>
    <w:rsid w:val="00CC6C99"/>
    <w:rsid w:val="00CC728B"/>
    <w:rsid w:val="00CC7356"/>
    <w:rsid w:val="00CC74D5"/>
    <w:rsid w:val="00CC7A6D"/>
    <w:rsid w:val="00CC7BD9"/>
    <w:rsid w:val="00CC7DF5"/>
    <w:rsid w:val="00CD0340"/>
    <w:rsid w:val="00CD0485"/>
    <w:rsid w:val="00CD04B6"/>
    <w:rsid w:val="00CD04FE"/>
    <w:rsid w:val="00CD06CF"/>
    <w:rsid w:val="00CD0740"/>
    <w:rsid w:val="00CD0768"/>
    <w:rsid w:val="00CD0B6B"/>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B20"/>
    <w:rsid w:val="00CD4D5F"/>
    <w:rsid w:val="00CD4DBB"/>
    <w:rsid w:val="00CD50EE"/>
    <w:rsid w:val="00CD5423"/>
    <w:rsid w:val="00CD5AC2"/>
    <w:rsid w:val="00CD5C02"/>
    <w:rsid w:val="00CD5E29"/>
    <w:rsid w:val="00CD61E3"/>
    <w:rsid w:val="00CD6814"/>
    <w:rsid w:val="00CD68C0"/>
    <w:rsid w:val="00CD6A0C"/>
    <w:rsid w:val="00CD6E0B"/>
    <w:rsid w:val="00CD7287"/>
    <w:rsid w:val="00CD787F"/>
    <w:rsid w:val="00CD7E3D"/>
    <w:rsid w:val="00CD7F02"/>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630"/>
    <w:rsid w:val="00CE1BC0"/>
    <w:rsid w:val="00CE1D7E"/>
    <w:rsid w:val="00CE1E11"/>
    <w:rsid w:val="00CE212D"/>
    <w:rsid w:val="00CE253D"/>
    <w:rsid w:val="00CE2561"/>
    <w:rsid w:val="00CE2A20"/>
    <w:rsid w:val="00CE2EC2"/>
    <w:rsid w:val="00CE3257"/>
    <w:rsid w:val="00CE367C"/>
    <w:rsid w:val="00CE38C1"/>
    <w:rsid w:val="00CE436D"/>
    <w:rsid w:val="00CE43D3"/>
    <w:rsid w:val="00CE44C7"/>
    <w:rsid w:val="00CE4645"/>
    <w:rsid w:val="00CE476F"/>
    <w:rsid w:val="00CE5086"/>
    <w:rsid w:val="00CE5112"/>
    <w:rsid w:val="00CE5A7F"/>
    <w:rsid w:val="00CE5B05"/>
    <w:rsid w:val="00CE5D40"/>
    <w:rsid w:val="00CE5E50"/>
    <w:rsid w:val="00CE697C"/>
    <w:rsid w:val="00CE698C"/>
    <w:rsid w:val="00CE69F3"/>
    <w:rsid w:val="00CE6AD5"/>
    <w:rsid w:val="00CE6E24"/>
    <w:rsid w:val="00CE72B0"/>
    <w:rsid w:val="00CE73B8"/>
    <w:rsid w:val="00CE7423"/>
    <w:rsid w:val="00CE7598"/>
    <w:rsid w:val="00CE76BD"/>
    <w:rsid w:val="00CE79BC"/>
    <w:rsid w:val="00CE7D69"/>
    <w:rsid w:val="00CF02AC"/>
    <w:rsid w:val="00CF0357"/>
    <w:rsid w:val="00CF057C"/>
    <w:rsid w:val="00CF0639"/>
    <w:rsid w:val="00CF06E6"/>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03B"/>
    <w:rsid w:val="00CF3112"/>
    <w:rsid w:val="00CF33BA"/>
    <w:rsid w:val="00CF35EA"/>
    <w:rsid w:val="00CF3654"/>
    <w:rsid w:val="00CF3698"/>
    <w:rsid w:val="00CF3D83"/>
    <w:rsid w:val="00CF3F01"/>
    <w:rsid w:val="00CF46E1"/>
    <w:rsid w:val="00CF50A9"/>
    <w:rsid w:val="00CF592E"/>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90B"/>
    <w:rsid w:val="00D00B22"/>
    <w:rsid w:val="00D01364"/>
    <w:rsid w:val="00D013B9"/>
    <w:rsid w:val="00D017EE"/>
    <w:rsid w:val="00D0182B"/>
    <w:rsid w:val="00D0186E"/>
    <w:rsid w:val="00D01881"/>
    <w:rsid w:val="00D01975"/>
    <w:rsid w:val="00D01B04"/>
    <w:rsid w:val="00D01BA8"/>
    <w:rsid w:val="00D01C10"/>
    <w:rsid w:val="00D01C73"/>
    <w:rsid w:val="00D02369"/>
    <w:rsid w:val="00D0253B"/>
    <w:rsid w:val="00D02C36"/>
    <w:rsid w:val="00D02C52"/>
    <w:rsid w:val="00D02DBA"/>
    <w:rsid w:val="00D02E17"/>
    <w:rsid w:val="00D0327B"/>
    <w:rsid w:val="00D03317"/>
    <w:rsid w:val="00D03334"/>
    <w:rsid w:val="00D03B3E"/>
    <w:rsid w:val="00D03CD2"/>
    <w:rsid w:val="00D03F17"/>
    <w:rsid w:val="00D03FFC"/>
    <w:rsid w:val="00D04F24"/>
    <w:rsid w:val="00D04F44"/>
    <w:rsid w:val="00D04FC8"/>
    <w:rsid w:val="00D0505A"/>
    <w:rsid w:val="00D05216"/>
    <w:rsid w:val="00D05393"/>
    <w:rsid w:val="00D05E98"/>
    <w:rsid w:val="00D05FD4"/>
    <w:rsid w:val="00D06088"/>
    <w:rsid w:val="00D0675C"/>
    <w:rsid w:val="00D06800"/>
    <w:rsid w:val="00D06B22"/>
    <w:rsid w:val="00D06CDD"/>
    <w:rsid w:val="00D06D09"/>
    <w:rsid w:val="00D06DED"/>
    <w:rsid w:val="00D06EF7"/>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3A9"/>
    <w:rsid w:val="00D136B9"/>
    <w:rsid w:val="00D13880"/>
    <w:rsid w:val="00D13B70"/>
    <w:rsid w:val="00D13BBC"/>
    <w:rsid w:val="00D13CCD"/>
    <w:rsid w:val="00D14204"/>
    <w:rsid w:val="00D14E26"/>
    <w:rsid w:val="00D1520E"/>
    <w:rsid w:val="00D15B25"/>
    <w:rsid w:val="00D15CFC"/>
    <w:rsid w:val="00D15D9D"/>
    <w:rsid w:val="00D15F30"/>
    <w:rsid w:val="00D1604E"/>
    <w:rsid w:val="00D1624D"/>
    <w:rsid w:val="00D16BA8"/>
    <w:rsid w:val="00D16DEE"/>
    <w:rsid w:val="00D174E5"/>
    <w:rsid w:val="00D17761"/>
    <w:rsid w:val="00D17CE8"/>
    <w:rsid w:val="00D17DA3"/>
    <w:rsid w:val="00D17F37"/>
    <w:rsid w:val="00D20171"/>
    <w:rsid w:val="00D2018F"/>
    <w:rsid w:val="00D202B4"/>
    <w:rsid w:val="00D202D3"/>
    <w:rsid w:val="00D2048B"/>
    <w:rsid w:val="00D20F77"/>
    <w:rsid w:val="00D21028"/>
    <w:rsid w:val="00D2109E"/>
    <w:rsid w:val="00D211D7"/>
    <w:rsid w:val="00D213D3"/>
    <w:rsid w:val="00D214BF"/>
    <w:rsid w:val="00D215E6"/>
    <w:rsid w:val="00D2171B"/>
    <w:rsid w:val="00D217CE"/>
    <w:rsid w:val="00D21810"/>
    <w:rsid w:val="00D218AE"/>
    <w:rsid w:val="00D21A99"/>
    <w:rsid w:val="00D21E53"/>
    <w:rsid w:val="00D220DF"/>
    <w:rsid w:val="00D22136"/>
    <w:rsid w:val="00D22148"/>
    <w:rsid w:val="00D22406"/>
    <w:rsid w:val="00D22522"/>
    <w:rsid w:val="00D22B5E"/>
    <w:rsid w:val="00D22D2B"/>
    <w:rsid w:val="00D22F40"/>
    <w:rsid w:val="00D23556"/>
    <w:rsid w:val="00D2387F"/>
    <w:rsid w:val="00D2390D"/>
    <w:rsid w:val="00D23B89"/>
    <w:rsid w:val="00D23CE2"/>
    <w:rsid w:val="00D23E91"/>
    <w:rsid w:val="00D23EAA"/>
    <w:rsid w:val="00D23F17"/>
    <w:rsid w:val="00D23F5B"/>
    <w:rsid w:val="00D24004"/>
    <w:rsid w:val="00D245F7"/>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4A4"/>
    <w:rsid w:val="00D26586"/>
    <w:rsid w:val="00D26905"/>
    <w:rsid w:val="00D26DBE"/>
    <w:rsid w:val="00D26E45"/>
    <w:rsid w:val="00D27109"/>
    <w:rsid w:val="00D27813"/>
    <w:rsid w:val="00D27841"/>
    <w:rsid w:val="00D27F01"/>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B6E"/>
    <w:rsid w:val="00D32EB0"/>
    <w:rsid w:val="00D33313"/>
    <w:rsid w:val="00D33410"/>
    <w:rsid w:val="00D33A29"/>
    <w:rsid w:val="00D33AB3"/>
    <w:rsid w:val="00D33AFC"/>
    <w:rsid w:val="00D33C09"/>
    <w:rsid w:val="00D3410B"/>
    <w:rsid w:val="00D344C9"/>
    <w:rsid w:val="00D345D0"/>
    <w:rsid w:val="00D34A16"/>
    <w:rsid w:val="00D34F5D"/>
    <w:rsid w:val="00D3500B"/>
    <w:rsid w:val="00D3527F"/>
    <w:rsid w:val="00D353FF"/>
    <w:rsid w:val="00D35582"/>
    <w:rsid w:val="00D35728"/>
    <w:rsid w:val="00D3609F"/>
    <w:rsid w:val="00D3610A"/>
    <w:rsid w:val="00D36245"/>
    <w:rsid w:val="00D3629A"/>
    <w:rsid w:val="00D3646C"/>
    <w:rsid w:val="00D3668C"/>
    <w:rsid w:val="00D366D3"/>
    <w:rsid w:val="00D369EA"/>
    <w:rsid w:val="00D36C8E"/>
    <w:rsid w:val="00D36E6F"/>
    <w:rsid w:val="00D36EEC"/>
    <w:rsid w:val="00D36FD1"/>
    <w:rsid w:val="00D370D6"/>
    <w:rsid w:val="00D370F2"/>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D7"/>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581"/>
    <w:rsid w:val="00D45668"/>
    <w:rsid w:val="00D458AB"/>
    <w:rsid w:val="00D45BBF"/>
    <w:rsid w:val="00D45C69"/>
    <w:rsid w:val="00D45D57"/>
    <w:rsid w:val="00D45FF9"/>
    <w:rsid w:val="00D4620A"/>
    <w:rsid w:val="00D463DD"/>
    <w:rsid w:val="00D464C9"/>
    <w:rsid w:val="00D466E5"/>
    <w:rsid w:val="00D467C7"/>
    <w:rsid w:val="00D4688E"/>
    <w:rsid w:val="00D46F2D"/>
    <w:rsid w:val="00D471EF"/>
    <w:rsid w:val="00D472B6"/>
    <w:rsid w:val="00D475CC"/>
    <w:rsid w:val="00D47613"/>
    <w:rsid w:val="00D477E2"/>
    <w:rsid w:val="00D47E55"/>
    <w:rsid w:val="00D50278"/>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BA6"/>
    <w:rsid w:val="00D52D27"/>
    <w:rsid w:val="00D52D73"/>
    <w:rsid w:val="00D52E4F"/>
    <w:rsid w:val="00D530BC"/>
    <w:rsid w:val="00D5346C"/>
    <w:rsid w:val="00D5354A"/>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C31"/>
    <w:rsid w:val="00D56D65"/>
    <w:rsid w:val="00D570F8"/>
    <w:rsid w:val="00D571E4"/>
    <w:rsid w:val="00D57252"/>
    <w:rsid w:val="00D572B2"/>
    <w:rsid w:val="00D573A2"/>
    <w:rsid w:val="00D578C5"/>
    <w:rsid w:val="00D57A42"/>
    <w:rsid w:val="00D57C20"/>
    <w:rsid w:val="00D57CEB"/>
    <w:rsid w:val="00D57E74"/>
    <w:rsid w:val="00D57F0A"/>
    <w:rsid w:val="00D6005F"/>
    <w:rsid w:val="00D600BE"/>
    <w:rsid w:val="00D60207"/>
    <w:rsid w:val="00D60936"/>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BAB"/>
    <w:rsid w:val="00D62C40"/>
    <w:rsid w:val="00D62DEC"/>
    <w:rsid w:val="00D62E52"/>
    <w:rsid w:val="00D632DD"/>
    <w:rsid w:val="00D63664"/>
    <w:rsid w:val="00D6394E"/>
    <w:rsid w:val="00D63BAD"/>
    <w:rsid w:val="00D63C5F"/>
    <w:rsid w:val="00D63D3C"/>
    <w:rsid w:val="00D6410E"/>
    <w:rsid w:val="00D642FB"/>
    <w:rsid w:val="00D6433E"/>
    <w:rsid w:val="00D64346"/>
    <w:rsid w:val="00D6447E"/>
    <w:rsid w:val="00D644F2"/>
    <w:rsid w:val="00D64755"/>
    <w:rsid w:val="00D647F9"/>
    <w:rsid w:val="00D6485C"/>
    <w:rsid w:val="00D64CB8"/>
    <w:rsid w:val="00D64CEB"/>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A51"/>
    <w:rsid w:val="00D67BCB"/>
    <w:rsid w:val="00D7010A"/>
    <w:rsid w:val="00D7040B"/>
    <w:rsid w:val="00D70BB3"/>
    <w:rsid w:val="00D70F5E"/>
    <w:rsid w:val="00D70F87"/>
    <w:rsid w:val="00D7123A"/>
    <w:rsid w:val="00D71F20"/>
    <w:rsid w:val="00D73347"/>
    <w:rsid w:val="00D73A3C"/>
    <w:rsid w:val="00D73A6B"/>
    <w:rsid w:val="00D73AA6"/>
    <w:rsid w:val="00D73CC9"/>
    <w:rsid w:val="00D73D70"/>
    <w:rsid w:val="00D73DAD"/>
    <w:rsid w:val="00D73E0D"/>
    <w:rsid w:val="00D73E1C"/>
    <w:rsid w:val="00D74461"/>
    <w:rsid w:val="00D7480B"/>
    <w:rsid w:val="00D74AF7"/>
    <w:rsid w:val="00D74CBE"/>
    <w:rsid w:val="00D74EA0"/>
    <w:rsid w:val="00D7505F"/>
    <w:rsid w:val="00D75112"/>
    <w:rsid w:val="00D7568F"/>
    <w:rsid w:val="00D75815"/>
    <w:rsid w:val="00D75828"/>
    <w:rsid w:val="00D75843"/>
    <w:rsid w:val="00D758A0"/>
    <w:rsid w:val="00D758A1"/>
    <w:rsid w:val="00D759BD"/>
    <w:rsid w:val="00D75CD8"/>
    <w:rsid w:val="00D75E85"/>
    <w:rsid w:val="00D760E9"/>
    <w:rsid w:val="00D761CB"/>
    <w:rsid w:val="00D76263"/>
    <w:rsid w:val="00D767D6"/>
    <w:rsid w:val="00D768D8"/>
    <w:rsid w:val="00D769F8"/>
    <w:rsid w:val="00D76A4B"/>
    <w:rsid w:val="00D76DDA"/>
    <w:rsid w:val="00D76E83"/>
    <w:rsid w:val="00D76F6F"/>
    <w:rsid w:val="00D770B7"/>
    <w:rsid w:val="00D7718F"/>
    <w:rsid w:val="00D771C9"/>
    <w:rsid w:val="00D771D5"/>
    <w:rsid w:val="00D776F2"/>
    <w:rsid w:val="00D77A14"/>
    <w:rsid w:val="00D77B6A"/>
    <w:rsid w:val="00D77C05"/>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453"/>
    <w:rsid w:val="00D846C5"/>
    <w:rsid w:val="00D84D27"/>
    <w:rsid w:val="00D84DA7"/>
    <w:rsid w:val="00D85079"/>
    <w:rsid w:val="00D8508D"/>
    <w:rsid w:val="00D852E4"/>
    <w:rsid w:val="00D85837"/>
    <w:rsid w:val="00D8586C"/>
    <w:rsid w:val="00D86012"/>
    <w:rsid w:val="00D864A4"/>
    <w:rsid w:val="00D86783"/>
    <w:rsid w:val="00D86B37"/>
    <w:rsid w:val="00D86ED1"/>
    <w:rsid w:val="00D87154"/>
    <w:rsid w:val="00D8725A"/>
    <w:rsid w:val="00D872B6"/>
    <w:rsid w:val="00D8778A"/>
    <w:rsid w:val="00D879E6"/>
    <w:rsid w:val="00D87DCE"/>
    <w:rsid w:val="00D87FDC"/>
    <w:rsid w:val="00D9045F"/>
    <w:rsid w:val="00D905D8"/>
    <w:rsid w:val="00D90D0F"/>
    <w:rsid w:val="00D90F85"/>
    <w:rsid w:val="00D91009"/>
    <w:rsid w:val="00D91012"/>
    <w:rsid w:val="00D9120D"/>
    <w:rsid w:val="00D9126A"/>
    <w:rsid w:val="00D912DF"/>
    <w:rsid w:val="00D917E6"/>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DB4"/>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0EB"/>
    <w:rsid w:val="00DA4388"/>
    <w:rsid w:val="00DA43CA"/>
    <w:rsid w:val="00DA46AB"/>
    <w:rsid w:val="00DA492A"/>
    <w:rsid w:val="00DA4A62"/>
    <w:rsid w:val="00DA4B10"/>
    <w:rsid w:val="00DA4D11"/>
    <w:rsid w:val="00DA4DDF"/>
    <w:rsid w:val="00DA50C0"/>
    <w:rsid w:val="00DA512A"/>
    <w:rsid w:val="00DA5378"/>
    <w:rsid w:val="00DA58F1"/>
    <w:rsid w:val="00DA5A53"/>
    <w:rsid w:val="00DA5CA9"/>
    <w:rsid w:val="00DA5DD4"/>
    <w:rsid w:val="00DA5E7E"/>
    <w:rsid w:val="00DA6372"/>
    <w:rsid w:val="00DA6759"/>
    <w:rsid w:val="00DA6A59"/>
    <w:rsid w:val="00DA6FBA"/>
    <w:rsid w:val="00DA714A"/>
    <w:rsid w:val="00DA71AF"/>
    <w:rsid w:val="00DA727D"/>
    <w:rsid w:val="00DA72AA"/>
    <w:rsid w:val="00DA7A85"/>
    <w:rsid w:val="00DA7B7D"/>
    <w:rsid w:val="00DA7BC7"/>
    <w:rsid w:val="00DA7BD8"/>
    <w:rsid w:val="00DA7E4C"/>
    <w:rsid w:val="00DB0052"/>
    <w:rsid w:val="00DB0487"/>
    <w:rsid w:val="00DB0564"/>
    <w:rsid w:val="00DB1539"/>
    <w:rsid w:val="00DB1903"/>
    <w:rsid w:val="00DB191A"/>
    <w:rsid w:val="00DB1DEC"/>
    <w:rsid w:val="00DB1F5C"/>
    <w:rsid w:val="00DB1F98"/>
    <w:rsid w:val="00DB2551"/>
    <w:rsid w:val="00DB2BD3"/>
    <w:rsid w:val="00DB31AE"/>
    <w:rsid w:val="00DB333B"/>
    <w:rsid w:val="00DB34AE"/>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7D2"/>
    <w:rsid w:val="00DB57FE"/>
    <w:rsid w:val="00DB5A21"/>
    <w:rsid w:val="00DB5B84"/>
    <w:rsid w:val="00DB5BAB"/>
    <w:rsid w:val="00DB5BEA"/>
    <w:rsid w:val="00DB5CF0"/>
    <w:rsid w:val="00DB5DEB"/>
    <w:rsid w:val="00DB5EE5"/>
    <w:rsid w:val="00DB62A6"/>
    <w:rsid w:val="00DB6398"/>
    <w:rsid w:val="00DB6500"/>
    <w:rsid w:val="00DB6563"/>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18"/>
    <w:rsid w:val="00DC22B7"/>
    <w:rsid w:val="00DC257F"/>
    <w:rsid w:val="00DC2726"/>
    <w:rsid w:val="00DC2898"/>
    <w:rsid w:val="00DC28A6"/>
    <w:rsid w:val="00DC28EC"/>
    <w:rsid w:val="00DC2C04"/>
    <w:rsid w:val="00DC2F9C"/>
    <w:rsid w:val="00DC3131"/>
    <w:rsid w:val="00DC337A"/>
    <w:rsid w:val="00DC375A"/>
    <w:rsid w:val="00DC3BBD"/>
    <w:rsid w:val="00DC3E1F"/>
    <w:rsid w:val="00DC4287"/>
    <w:rsid w:val="00DC4871"/>
    <w:rsid w:val="00DC4B72"/>
    <w:rsid w:val="00DC4D4C"/>
    <w:rsid w:val="00DC4D82"/>
    <w:rsid w:val="00DC4E9C"/>
    <w:rsid w:val="00DC4F79"/>
    <w:rsid w:val="00DC50EF"/>
    <w:rsid w:val="00DC5126"/>
    <w:rsid w:val="00DC522F"/>
    <w:rsid w:val="00DC588E"/>
    <w:rsid w:val="00DC596D"/>
    <w:rsid w:val="00DC5FD4"/>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604"/>
    <w:rsid w:val="00DD1947"/>
    <w:rsid w:val="00DD1A59"/>
    <w:rsid w:val="00DD1B64"/>
    <w:rsid w:val="00DD1CCF"/>
    <w:rsid w:val="00DD1D18"/>
    <w:rsid w:val="00DD1ED7"/>
    <w:rsid w:val="00DD1FC1"/>
    <w:rsid w:val="00DD1FE4"/>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D39"/>
    <w:rsid w:val="00DD5048"/>
    <w:rsid w:val="00DD518A"/>
    <w:rsid w:val="00DD5799"/>
    <w:rsid w:val="00DD5C07"/>
    <w:rsid w:val="00DD6396"/>
    <w:rsid w:val="00DD6B28"/>
    <w:rsid w:val="00DD6C70"/>
    <w:rsid w:val="00DD6CED"/>
    <w:rsid w:val="00DD6D42"/>
    <w:rsid w:val="00DD6DA2"/>
    <w:rsid w:val="00DD761C"/>
    <w:rsid w:val="00DD7B92"/>
    <w:rsid w:val="00DD7DF3"/>
    <w:rsid w:val="00DE0171"/>
    <w:rsid w:val="00DE0333"/>
    <w:rsid w:val="00DE042B"/>
    <w:rsid w:val="00DE044F"/>
    <w:rsid w:val="00DE0518"/>
    <w:rsid w:val="00DE0558"/>
    <w:rsid w:val="00DE07AB"/>
    <w:rsid w:val="00DE0CAB"/>
    <w:rsid w:val="00DE1079"/>
    <w:rsid w:val="00DE183E"/>
    <w:rsid w:val="00DE1995"/>
    <w:rsid w:val="00DE1DE2"/>
    <w:rsid w:val="00DE21CF"/>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AF1"/>
    <w:rsid w:val="00DE7D03"/>
    <w:rsid w:val="00DE7FD8"/>
    <w:rsid w:val="00DF02EC"/>
    <w:rsid w:val="00DF0953"/>
    <w:rsid w:val="00DF0AF2"/>
    <w:rsid w:val="00DF0D33"/>
    <w:rsid w:val="00DF0DA9"/>
    <w:rsid w:val="00DF0E63"/>
    <w:rsid w:val="00DF0FE6"/>
    <w:rsid w:val="00DF1300"/>
    <w:rsid w:val="00DF139E"/>
    <w:rsid w:val="00DF1758"/>
    <w:rsid w:val="00DF17A0"/>
    <w:rsid w:val="00DF17BE"/>
    <w:rsid w:val="00DF1AC6"/>
    <w:rsid w:val="00DF1ADA"/>
    <w:rsid w:val="00DF1DE2"/>
    <w:rsid w:val="00DF1FD6"/>
    <w:rsid w:val="00DF2783"/>
    <w:rsid w:val="00DF27C9"/>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2C9"/>
    <w:rsid w:val="00DF5504"/>
    <w:rsid w:val="00DF576F"/>
    <w:rsid w:val="00DF5B61"/>
    <w:rsid w:val="00DF5BC7"/>
    <w:rsid w:val="00DF6014"/>
    <w:rsid w:val="00DF6824"/>
    <w:rsid w:val="00DF6C54"/>
    <w:rsid w:val="00DF7226"/>
    <w:rsid w:val="00DF7DC4"/>
    <w:rsid w:val="00E000AA"/>
    <w:rsid w:val="00E0038C"/>
    <w:rsid w:val="00E004D1"/>
    <w:rsid w:val="00E0059D"/>
    <w:rsid w:val="00E00633"/>
    <w:rsid w:val="00E00A07"/>
    <w:rsid w:val="00E00EFF"/>
    <w:rsid w:val="00E0118C"/>
    <w:rsid w:val="00E0138A"/>
    <w:rsid w:val="00E013CA"/>
    <w:rsid w:val="00E015AA"/>
    <w:rsid w:val="00E019EA"/>
    <w:rsid w:val="00E01A2F"/>
    <w:rsid w:val="00E01B07"/>
    <w:rsid w:val="00E02346"/>
    <w:rsid w:val="00E02505"/>
    <w:rsid w:val="00E028E6"/>
    <w:rsid w:val="00E02C20"/>
    <w:rsid w:val="00E02CD9"/>
    <w:rsid w:val="00E0314D"/>
    <w:rsid w:val="00E032C1"/>
    <w:rsid w:val="00E034CA"/>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4D8"/>
    <w:rsid w:val="00E058C8"/>
    <w:rsid w:val="00E05989"/>
    <w:rsid w:val="00E05A43"/>
    <w:rsid w:val="00E05B03"/>
    <w:rsid w:val="00E05C09"/>
    <w:rsid w:val="00E0646D"/>
    <w:rsid w:val="00E06AF4"/>
    <w:rsid w:val="00E06EDB"/>
    <w:rsid w:val="00E0729D"/>
    <w:rsid w:val="00E07686"/>
    <w:rsid w:val="00E077F8"/>
    <w:rsid w:val="00E07A3F"/>
    <w:rsid w:val="00E07C7D"/>
    <w:rsid w:val="00E07E45"/>
    <w:rsid w:val="00E1007C"/>
    <w:rsid w:val="00E1018D"/>
    <w:rsid w:val="00E102BD"/>
    <w:rsid w:val="00E1039D"/>
    <w:rsid w:val="00E103F8"/>
    <w:rsid w:val="00E104DE"/>
    <w:rsid w:val="00E1074E"/>
    <w:rsid w:val="00E109D7"/>
    <w:rsid w:val="00E10ADD"/>
    <w:rsid w:val="00E10E7A"/>
    <w:rsid w:val="00E111ED"/>
    <w:rsid w:val="00E11742"/>
    <w:rsid w:val="00E117D6"/>
    <w:rsid w:val="00E11D58"/>
    <w:rsid w:val="00E11E3A"/>
    <w:rsid w:val="00E11EB8"/>
    <w:rsid w:val="00E125EE"/>
    <w:rsid w:val="00E12775"/>
    <w:rsid w:val="00E12A5A"/>
    <w:rsid w:val="00E12A74"/>
    <w:rsid w:val="00E12BF5"/>
    <w:rsid w:val="00E12DAD"/>
    <w:rsid w:val="00E12ED5"/>
    <w:rsid w:val="00E13219"/>
    <w:rsid w:val="00E136AE"/>
    <w:rsid w:val="00E137EA"/>
    <w:rsid w:val="00E1382A"/>
    <w:rsid w:val="00E139D0"/>
    <w:rsid w:val="00E13C70"/>
    <w:rsid w:val="00E140C2"/>
    <w:rsid w:val="00E14372"/>
    <w:rsid w:val="00E143F1"/>
    <w:rsid w:val="00E144D1"/>
    <w:rsid w:val="00E145E0"/>
    <w:rsid w:val="00E14845"/>
    <w:rsid w:val="00E14913"/>
    <w:rsid w:val="00E14F7D"/>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4101"/>
    <w:rsid w:val="00E242F3"/>
    <w:rsid w:val="00E2446F"/>
    <w:rsid w:val="00E247BD"/>
    <w:rsid w:val="00E248D3"/>
    <w:rsid w:val="00E24A9B"/>
    <w:rsid w:val="00E250DB"/>
    <w:rsid w:val="00E25347"/>
    <w:rsid w:val="00E256FC"/>
    <w:rsid w:val="00E257DB"/>
    <w:rsid w:val="00E25877"/>
    <w:rsid w:val="00E25F49"/>
    <w:rsid w:val="00E260B0"/>
    <w:rsid w:val="00E2617B"/>
    <w:rsid w:val="00E2690A"/>
    <w:rsid w:val="00E2690E"/>
    <w:rsid w:val="00E26B0F"/>
    <w:rsid w:val="00E26BFA"/>
    <w:rsid w:val="00E27252"/>
    <w:rsid w:val="00E272A9"/>
    <w:rsid w:val="00E272C2"/>
    <w:rsid w:val="00E272FE"/>
    <w:rsid w:val="00E27DC1"/>
    <w:rsid w:val="00E3045B"/>
    <w:rsid w:val="00E30517"/>
    <w:rsid w:val="00E30608"/>
    <w:rsid w:val="00E3070A"/>
    <w:rsid w:val="00E30A72"/>
    <w:rsid w:val="00E30ABC"/>
    <w:rsid w:val="00E30D34"/>
    <w:rsid w:val="00E30D53"/>
    <w:rsid w:val="00E312CB"/>
    <w:rsid w:val="00E31371"/>
    <w:rsid w:val="00E313E8"/>
    <w:rsid w:val="00E31506"/>
    <w:rsid w:val="00E315DA"/>
    <w:rsid w:val="00E31C12"/>
    <w:rsid w:val="00E3210F"/>
    <w:rsid w:val="00E32597"/>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A17"/>
    <w:rsid w:val="00E34B9D"/>
    <w:rsid w:val="00E34F08"/>
    <w:rsid w:val="00E3506A"/>
    <w:rsid w:val="00E35199"/>
    <w:rsid w:val="00E35EFF"/>
    <w:rsid w:val="00E35F47"/>
    <w:rsid w:val="00E362BC"/>
    <w:rsid w:val="00E363DF"/>
    <w:rsid w:val="00E3647F"/>
    <w:rsid w:val="00E36AF6"/>
    <w:rsid w:val="00E36F3C"/>
    <w:rsid w:val="00E375C6"/>
    <w:rsid w:val="00E377B6"/>
    <w:rsid w:val="00E377BF"/>
    <w:rsid w:val="00E37C25"/>
    <w:rsid w:val="00E37EB7"/>
    <w:rsid w:val="00E400DE"/>
    <w:rsid w:val="00E40362"/>
    <w:rsid w:val="00E404AF"/>
    <w:rsid w:val="00E404CE"/>
    <w:rsid w:val="00E40BAC"/>
    <w:rsid w:val="00E40DAE"/>
    <w:rsid w:val="00E410FA"/>
    <w:rsid w:val="00E41235"/>
    <w:rsid w:val="00E413B9"/>
    <w:rsid w:val="00E41A3E"/>
    <w:rsid w:val="00E41D2F"/>
    <w:rsid w:val="00E424CF"/>
    <w:rsid w:val="00E425FA"/>
    <w:rsid w:val="00E4273E"/>
    <w:rsid w:val="00E42FB8"/>
    <w:rsid w:val="00E42FF3"/>
    <w:rsid w:val="00E432AE"/>
    <w:rsid w:val="00E43510"/>
    <w:rsid w:val="00E4356E"/>
    <w:rsid w:val="00E435E3"/>
    <w:rsid w:val="00E43CB8"/>
    <w:rsid w:val="00E43F1E"/>
    <w:rsid w:val="00E43FBE"/>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A1"/>
    <w:rsid w:val="00E4632D"/>
    <w:rsid w:val="00E4679E"/>
    <w:rsid w:val="00E46809"/>
    <w:rsid w:val="00E46814"/>
    <w:rsid w:val="00E468E4"/>
    <w:rsid w:val="00E46AFD"/>
    <w:rsid w:val="00E46CC9"/>
    <w:rsid w:val="00E46F78"/>
    <w:rsid w:val="00E4754F"/>
    <w:rsid w:val="00E4782F"/>
    <w:rsid w:val="00E47878"/>
    <w:rsid w:val="00E47930"/>
    <w:rsid w:val="00E47B8B"/>
    <w:rsid w:val="00E47C45"/>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937"/>
    <w:rsid w:val="00E52CCE"/>
    <w:rsid w:val="00E52DCB"/>
    <w:rsid w:val="00E52F5E"/>
    <w:rsid w:val="00E52F76"/>
    <w:rsid w:val="00E5315C"/>
    <w:rsid w:val="00E5336C"/>
    <w:rsid w:val="00E5372C"/>
    <w:rsid w:val="00E537FA"/>
    <w:rsid w:val="00E538E0"/>
    <w:rsid w:val="00E53AA0"/>
    <w:rsid w:val="00E53EAE"/>
    <w:rsid w:val="00E548A8"/>
    <w:rsid w:val="00E54C37"/>
    <w:rsid w:val="00E54D33"/>
    <w:rsid w:val="00E5544A"/>
    <w:rsid w:val="00E556A3"/>
    <w:rsid w:val="00E55BCA"/>
    <w:rsid w:val="00E5639F"/>
    <w:rsid w:val="00E56442"/>
    <w:rsid w:val="00E566C5"/>
    <w:rsid w:val="00E5711F"/>
    <w:rsid w:val="00E5719D"/>
    <w:rsid w:val="00E571B7"/>
    <w:rsid w:val="00E5765B"/>
    <w:rsid w:val="00E578E3"/>
    <w:rsid w:val="00E57A8F"/>
    <w:rsid w:val="00E57CA3"/>
    <w:rsid w:val="00E6000E"/>
    <w:rsid w:val="00E602C9"/>
    <w:rsid w:val="00E605B3"/>
    <w:rsid w:val="00E6084C"/>
    <w:rsid w:val="00E608B7"/>
    <w:rsid w:val="00E60E70"/>
    <w:rsid w:val="00E60F80"/>
    <w:rsid w:val="00E61098"/>
    <w:rsid w:val="00E61764"/>
    <w:rsid w:val="00E61858"/>
    <w:rsid w:val="00E61A52"/>
    <w:rsid w:val="00E61DAC"/>
    <w:rsid w:val="00E624DA"/>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57E"/>
    <w:rsid w:val="00E64763"/>
    <w:rsid w:val="00E64767"/>
    <w:rsid w:val="00E64864"/>
    <w:rsid w:val="00E64961"/>
    <w:rsid w:val="00E64BB6"/>
    <w:rsid w:val="00E65E6B"/>
    <w:rsid w:val="00E66077"/>
    <w:rsid w:val="00E66286"/>
    <w:rsid w:val="00E662B4"/>
    <w:rsid w:val="00E6640D"/>
    <w:rsid w:val="00E66637"/>
    <w:rsid w:val="00E6682F"/>
    <w:rsid w:val="00E668A3"/>
    <w:rsid w:val="00E66A1B"/>
    <w:rsid w:val="00E66C0D"/>
    <w:rsid w:val="00E66E21"/>
    <w:rsid w:val="00E67551"/>
    <w:rsid w:val="00E676A6"/>
    <w:rsid w:val="00E67752"/>
    <w:rsid w:val="00E67953"/>
    <w:rsid w:val="00E67AEB"/>
    <w:rsid w:val="00E67D67"/>
    <w:rsid w:val="00E67E2F"/>
    <w:rsid w:val="00E701EB"/>
    <w:rsid w:val="00E705E5"/>
    <w:rsid w:val="00E709B5"/>
    <w:rsid w:val="00E70A95"/>
    <w:rsid w:val="00E70B0C"/>
    <w:rsid w:val="00E71315"/>
    <w:rsid w:val="00E718C9"/>
    <w:rsid w:val="00E71C75"/>
    <w:rsid w:val="00E71DF1"/>
    <w:rsid w:val="00E722EF"/>
    <w:rsid w:val="00E723D3"/>
    <w:rsid w:val="00E7242A"/>
    <w:rsid w:val="00E7245A"/>
    <w:rsid w:val="00E72ABE"/>
    <w:rsid w:val="00E72BCC"/>
    <w:rsid w:val="00E73065"/>
    <w:rsid w:val="00E7306F"/>
    <w:rsid w:val="00E73251"/>
    <w:rsid w:val="00E73670"/>
    <w:rsid w:val="00E738C7"/>
    <w:rsid w:val="00E7399A"/>
    <w:rsid w:val="00E73BAB"/>
    <w:rsid w:val="00E73E01"/>
    <w:rsid w:val="00E7429A"/>
    <w:rsid w:val="00E745E9"/>
    <w:rsid w:val="00E746AB"/>
    <w:rsid w:val="00E74723"/>
    <w:rsid w:val="00E7476B"/>
    <w:rsid w:val="00E74795"/>
    <w:rsid w:val="00E74B5A"/>
    <w:rsid w:val="00E74DDD"/>
    <w:rsid w:val="00E7524F"/>
    <w:rsid w:val="00E7556D"/>
    <w:rsid w:val="00E756FB"/>
    <w:rsid w:val="00E75BCE"/>
    <w:rsid w:val="00E75F9B"/>
    <w:rsid w:val="00E760A7"/>
    <w:rsid w:val="00E76141"/>
    <w:rsid w:val="00E76270"/>
    <w:rsid w:val="00E762FF"/>
    <w:rsid w:val="00E76316"/>
    <w:rsid w:val="00E76393"/>
    <w:rsid w:val="00E7692D"/>
    <w:rsid w:val="00E7695A"/>
    <w:rsid w:val="00E76A56"/>
    <w:rsid w:val="00E76CC0"/>
    <w:rsid w:val="00E76ED7"/>
    <w:rsid w:val="00E77040"/>
    <w:rsid w:val="00E770C0"/>
    <w:rsid w:val="00E773D4"/>
    <w:rsid w:val="00E776A6"/>
    <w:rsid w:val="00E7797B"/>
    <w:rsid w:val="00E77C66"/>
    <w:rsid w:val="00E8010D"/>
    <w:rsid w:val="00E8016D"/>
    <w:rsid w:val="00E80B75"/>
    <w:rsid w:val="00E810EC"/>
    <w:rsid w:val="00E8117B"/>
    <w:rsid w:val="00E81490"/>
    <w:rsid w:val="00E814D4"/>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7DA"/>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20"/>
    <w:rsid w:val="00E85796"/>
    <w:rsid w:val="00E859CA"/>
    <w:rsid w:val="00E85B21"/>
    <w:rsid w:val="00E85BE1"/>
    <w:rsid w:val="00E85F6C"/>
    <w:rsid w:val="00E85FD9"/>
    <w:rsid w:val="00E86057"/>
    <w:rsid w:val="00E861F7"/>
    <w:rsid w:val="00E864B0"/>
    <w:rsid w:val="00E86647"/>
    <w:rsid w:val="00E867BC"/>
    <w:rsid w:val="00E86B77"/>
    <w:rsid w:val="00E86BA9"/>
    <w:rsid w:val="00E86D82"/>
    <w:rsid w:val="00E86DBF"/>
    <w:rsid w:val="00E87565"/>
    <w:rsid w:val="00E879F0"/>
    <w:rsid w:val="00E87A25"/>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46"/>
    <w:rsid w:val="00E92569"/>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B52"/>
    <w:rsid w:val="00E95D01"/>
    <w:rsid w:val="00E95DAE"/>
    <w:rsid w:val="00E9627E"/>
    <w:rsid w:val="00E96286"/>
    <w:rsid w:val="00E963A3"/>
    <w:rsid w:val="00E963DA"/>
    <w:rsid w:val="00E965FD"/>
    <w:rsid w:val="00E9694A"/>
    <w:rsid w:val="00E96B75"/>
    <w:rsid w:val="00E96C84"/>
    <w:rsid w:val="00E96FBC"/>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832"/>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A8"/>
    <w:rsid w:val="00EA59B5"/>
    <w:rsid w:val="00EA5B60"/>
    <w:rsid w:val="00EA6506"/>
    <w:rsid w:val="00EA68CA"/>
    <w:rsid w:val="00EA69C7"/>
    <w:rsid w:val="00EA6E5F"/>
    <w:rsid w:val="00EA7016"/>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72A"/>
    <w:rsid w:val="00EB0A4F"/>
    <w:rsid w:val="00EB0F02"/>
    <w:rsid w:val="00EB1279"/>
    <w:rsid w:val="00EB148D"/>
    <w:rsid w:val="00EB155F"/>
    <w:rsid w:val="00EB1705"/>
    <w:rsid w:val="00EB172F"/>
    <w:rsid w:val="00EB17E0"/>
    <w:rsid w:val="00EB1D4D"/>
    <w:rsid w:val="00EB1E07"/>
    <w:rsid w:val="00EB2435"/>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51CA"/>
    <w:rsid w:val="00EB534C"/>
    <w:rsid w:val="00EB53A5"/>
    <w:rsid w:val="00EB5419"/>
    <w:rsid w:val="00EB55D2"/>
    <w:rsid w:val="00EB565E"/>
    <w:rsid w:val="00EB57E7"/>
    <w:rsid w:val="00EB593E"/>
    <w:rsid w:val="00EB5950"/>
    <w:rsid w:val="00EB597E"/>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E4D"/>
    <w:rsid w:val="00EB7FE8"/>
    <w:rsid w:val="00EC00BA"/>
    <w:rsid w:val="00EC011C"/>
    <w:rsid w:val="00EC045E"/>
    <w:rsid w:val="00EC04EA"/>
    <w:rsid w:val="00EC0881"/>
    <w:rsid w:val="00EC0930"/>
    <w:rsid w:val="00EC0EE6"/>
    <w:rsid w:val="00EC117E"/>
    <w:rsid w:val="00EC13AF"/>
    <w:rsid w:val="00EC183D"/>
    <w:rsid w:val="00EC191E"/>
    <w:rsid w:val="00EC1D83"/>
    <w:rsid w:val="00EC1DD0"/>
    <w:rsid w:val="00EC1F79"/>
    <w:rsid w:val="00EC2106"/>
    <w:rsid w:val="00EC2152"/>
    <w:rsid w:val="00EC221E"/>
    <w:rsid w:val="00EC2591"/>
    <w:rsid w:val="00EC2AB3"/>
    <w:rsid w:val="00EC2B26"/>
    <w:rsid w:val="00EC2E21"/>
    <w:rsid w:val="00EC30C1"/>
    <w:rsid w:val="00EC30FD"/>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7DC"/>
    <w:rsid w:val="00ED19B6"/>
    <w:rsid w:val="00ED1A39"/>
    <w:rsid w:val="00ED24AE"/>
    <w:rsid w:val="00ED2A3F"/>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259"/>
    <w:rsid w:val="00ED54A2"/>
    <w:rsid w:val="00ED54F7"/>
    <w:rsid w:val="00ED5767"/>
    <w:rsid w:val="00ED57A8"/>
    <w:rsid w:val="00ED58F2"/>
    <w:rsid w:val="00ED5FCF"/>
    <w:rsid w:val="00ED61ED"/>
    <w:rsid w:val="00ED6475"/>
    <w:rsid w:val="00ED672E"/>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CDA"/>
    <w:rsid w:val="00EE24B7"/>
    <w:rsid w:val="00EE29B4"/>
    <w:rsid w:val="00EE2AAB"/>
    <w:rsid w:val="00EE2B49"/>
    <w:rsid w:val="00EE2B75"/>
    <w:rsid w:val="00EE2C45"/>
    <w:rsid w:val="00EE3203"/>
    <w:rsid w:val="00EE33A6"/>
    <w:rsid w:val="00EE347A"/>
    <w:rsid w:val="00EE3966"/>
    <w:rsid w:val="00EE3DA6"/>
    <w:rsid w:val="00EE3DCB"/>
    <w:rsid w:val="00EE49E0"/>
    <w:rsid w:val="00EE5112"/>
    <w:rsid w:val="00EE5289"/>
    <w:rsid w:val="00EE52B9"/>
    <w:rsid w:val="00EE52C6"/>
    <w:rsid w:val="00EE5ACC"/>
    <w:rsid w:val="00EE5CF1"/>
    <w:rsid w:val="00EE5E3C"/>
    <w:rsid w:val="00EE62B4"/>
    <w:rsid w:val="00EE6359"/>
    <w:rsid w:val="00EE636D"/>
    <w:rsid w:val="00EE6559"/>
    <w:rsid w:val="00EE66B1"/>
    <w:rsid w:val="00EE67A5"/>
    <w:rsid w:val="00EE6BD3"/>
    <w:rsid w:val="00EE6FCC"/>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A25"/>
    <w:rsid w:val="00EF0E46"/>
    <w:rsid w:val="00EF0E50"/>
    <w:rsid w:val="00EF118F"/>
    <w:rsid w:val="00EF1A4F"/>
    <w:rsid w:val="00EF20FD"/>
    <w:rsid w:val="00EF221F"/>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89C"/>
    <w:rsid w:val="00EF6EF5"/>
    <w:rsid w:val="00EF6F55"/>
    <w:rsid w:val="00EF7194"/>
    <w:rsid w:val="00EF73AB"/>
    <w:rsid w:val="00EF7516"/>
    <w:rsid w:val="00EF7614"/>
    <w:rsid w:val="00EF77FC"/>
    <w:rsid w:val="00EF7878"/>
    <w:rsid w:val="00EF7A97"/>
    <w:rsid w:val="00EF7DD6"/>
    <w:rsid w:val="00EF7EAA"/>
    <w:rsid w:val="00EF7ECE"/>
    <w:rsid w:val="00F000F0"/>
    <w:rsid w:val="00F00180"/>
    <w:rsid w:val="00F001EE"/>
    <w:rsid w:val="00F00202"/>
    <w:rsid w:val="00F00310"/>
    <w:rsid w:val="00F0046C"/>
    <w:rsid w:val="00F006E4"/>
    <w:rsid w:val="00F00923"/>
    <w:rsid w:val="00F00A7F"/>
    <w:rsid w:val="00F00A86"/>
    <w:rsid w:val="00F00C9D"/>
    <w:rsid w:val="00F00E13"/>
    <w:rsid w:val="00F00EC1"/>
    <w:rsid w:val="00F01670"/>
    <w:rsid w:val="00F017CB"/>
    <w:rsid w:val="00F0197D"/>
    <w:rsid w:val="00F01A58"/>
    <w:rsid w:val="00F01F57"/>
    <w:rsid w:val="00F01FCB"/>
    <w:rsid w:val="00F01FEA"/>
    <w:rsid w:val="00F0216F"/>
    <w:rsid w:val="00F02371"/>
    <w:rsid w:val="00F023A1"/>
    <w:rsid w:val="00F024E9"/>
    <w:rsid w:val="00F02551"/>
    <w:rsid w:val="00F02625"/>
    <w:rsid w:val="00F026AE"/>
    <w:rsid w:val="00F026B2"/>
    <w:rsid w:val="00F027FF"/>
    <w:rsid w:val="00F02D95"/>
    <w:rsid w:val="00F02DD1"/>
    <w:rsid w:val="00F02E48"/>
    <w:rsid w:val="00F0301D"/>
    <w:rsid w:val="00F03298"/>
    <w:rsid w:val="00F032DF"/>
    <w:rsid w:val="00F03300"/>
    <w:rsid w:val="00F03466"/>
    <w:rsid w:val="00F035FD"/>
    <w:rsid w:val="00F03633"/>
    <w:rsid w:val="00F0368B"/>
    <w:rsid w:val="00F0388F"/>
    <w:rsid w:val="00F03891"/>
    <w:rsid w:val="00F038F4"/>
    <w:rsid w:val="00F04134"/>
    <w:rsid w:val="00F04414"/>
    <w:rsid w:val="00F04523"/>
    <w:rsid w:val="00F04551"/>
    <w:rsid w:val="00F049CD"/>
    <w:rsid w:val="00F04B22"/>
    <w:rsid w:val="00F04B5E"/>
    <w:rsid w:val="00F04D51"/>
    <w:rsid w:val="00F04F3E"/>
    <w:rsid w:val="00F0522E"/>
    <w:rsid w:val="00F05576"/>
    <w:rsid w:val="00F05616"/>
    <w:rsid w:val="00F057AA"/>
    <w:rsid w:val="00F05EED"/>
    <w:rsid w:val="00F05F5A"/>
    <w:rsid w:val="00F06D91"/>
    <w:rsid w:val="00F06F02"/>
    <w:rsid w:val="00F07310"/>
    <w:rsid w:val="00F0763D"/>
    <w:rsid w:val="00F07B54"/>
    <w:rsid w:val="00F07F82"/>
    <w:rsid w:val="00F10004"/>
    <w:rsid w:val="00F10437"/>
    <w:rsid w:val="00F10465"/>
    <w:rsid w:val="00F10793"/>
    <w:rsid w:val="00F10864"/>
    <w:rsid w:val="00F108F5"/>
    <w:rsid w:val="00F10D93"/>
    <w:rsid w:val="00F11003"/>
    <w:rsid w:val="00F1114C"/>
    <w:rsid w:val="00F1146B"/>
    <w:rsid w:val="00F115E0"/>
    <w:rsid w:val="00F1165E"/>
    <w:rsid w:val="00F11963"/>
    <w:rsid w:val="00F11CF5"/>
    <w:rsid w:val="00F11D66"/>
    <w:rsid w:val="00F11E00"/>
    <w:rsid w:val="00F1244F"/>
    <w:rsid w:val="00F124CB"/>
    <w:rsid w:val="00F12959"/>
    <w:rsid w:val="00F12B3D"/>
    <w:rsid w:val="00F12D63"/>
    <w:rsid w:val="00F13273"/>
    <w:rsid w:val="00F13526"/>
    <w:rsid w:val="00F13857"/>
    <w:rsid w:val="00F13D8D"/>
    <w:rsid w:val="00F1403E"/>
    <w:rsid w:val="00F1415B"/>
    <w:rsid w:val="00F14278"/>
    <w:rsid w:val="00F142ED"/>
    <w:rsid w:val="00F14595"/>
    <w:rsid w:val="00F14606"/>
    <w:rsid w:val="00F1476B"/>
    <w:rsid w:val="00F149F8"/>
    <w:rsid w:val="00F15022"/>
    <w:rsid w:val="00F152EE"/>
    <w:rsid w:val="00F1537D"/>
    <w:rsid w:val="00F155FF"/>
    <w:rsid w:val="00F15860"/>
    <w:rsid w:val="00F1593F"/>
    <w:rsid w:val="00F15CB1"/>
    <w:rsid w:val="00F16301"/>
    <w:rsid w:val="00F167DA"/>
    <w:rsid w:val="00F16BB1"/>
    <w:rsid w:val="00F17383"/>
    <w:rsid w:val="00F1754C"/>
    <w:rsid w:val="00F17888"/>
    <w:rsid w:val="00F17A8F"/>
    <w:rsid w:val="00F17AD5"/>
    <w:rsid w:val="00F17CA7"/>
    <w:rsid w:val="00F17F3B"/>
    <w:rsid w:val="00F20046"/>
    <w:rsid w:val="00F206FE"/>
    <w:rsid w:val="00F20E69"/>
    <w:rsid w:val="00F20F1C"/>
    <w:rsid w:val="00F20F5B"/>
    <w:rsid w:val="00F20F67"/>
    <w:rsid w:val="00F21048"/>
    <w:rsid w:val="00F210AB"/>
    <w:rsid w:val="00F21225"/>
    <w:rsid w:val="00F21474"/>
    <w:rsid w:val="00F215C3"/>
    <w:rsid w:val="00F21857"/>
    <w:rsid w:val="00F218EF"/>
    <w:rsid w:val="00F21A0B"/>
    <w:rsid w:val="00F21D89"/>
    <w:rsid w:val="00F21F4E"/>
    <w:rsid w:val="00F22444"/>
    <w:rsid w:val="00F227B6"/>
    <w:rsid w:val="00F22864"/>
    <w:rsid w:val="00F22880"/>
    <w:rsid w:val="00F22B5C"/>
    <w:rsid w:val="00F22C50"/>
    <w:rsid w:val="00F22C96"/>
    <w:rsid w:val="00F2357F"/>
    <w:rsid w:val="00F238F6"/>
    <w:rsid w:val="00F23BD0"/>
    <w:rsid w:val="00F23FCA"/>
    <w:rsid w:val="00F24269"/>
    <w:rsid w:val="00F244C0"/>
    <w:rsid w:val="00F2456B"/>
    <w:rsid w:val="00F24A57"/>
    <w:rsid w:val="00F24E83"/>
    <w:rsid w:val="00F24F4D"/>
    <w:rsid w:val="00F24FA0"/>
    <w:rsid w:val="00F250CE"/>
    <w:rsid w:val="00F25157"/>
    <w:rsid w:val="00F254E0"/>
    <w:rsid w:val="00F257ED"/>
    <w:rsid w:val="00F259A7"/>
    <w:rsid w:val="00F25E7E"/>
    <w:rsid w:val="00F25EB4"/>
    <w:rsid w:val="00F2617C"/>
    <w:rsid w:val="00F2643A"/>
    <w:rsid w:val="00F26886"/>
    <w:rsid w:val="00F2699C"/>
    <w:rsid w:val="00F26AF5"/>
    <w:rsid w:val="00F26B24"/>
    <w:rsid w:val="00F26B58"/>
    <w:rsid w:val="00F27765"/>
    <w:rsid w:val="00F2778E"/>
    <w:rsid w:val="00F277D4"/>
    <w:rsid w:val="00F27CE2"/>
    <w:rsid w:val="00F27E0C"/>
    <w:rsid w:val="00F3002F"/>
    <w:rsid w:val="00F30031"/>
    <w:rsid w:val="00F300F2"/>
    <w:rsid w:val="00F3022D"/>
    <w:rsid w:val="00F30353"/>
    <w:rsid w:val="00F308C0"/>
    <w:rsid w:val="00F30981"/>
    <w:rsid w:val="00F30DC6"/>
    <w:rsid w:val="00F30FA7"/>
    <w:rsid w:val="00F315C5"/>
    <w:rsid w:val="00F318E7"/>
    <w:rsid w:val="00F31F17"/>
    <w:rsid w:val="00F31F79"/>
    <w:rsid w:val="00F3236F"/>
    <w:rsid w:val="00F32374"/>
    <w:rsid w:val="00F32704"/>
    <w:rsid w:val="00F32CDC"/>
    <w:rsid w:val="00F32F0E"/>
    <w:rsid w:val="00F32F3E"/>
    <w:rsid w:val="00F32FB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181"/>
    <w:rsid w:val="00F3521B"/>
    <w:rsid w:val="00F3524E"/>
    <w:rsid w:val="00F35561"/>
    <w:rsid w:val="00F35722"/>
    <w:rsid w:val="00F35865"/>
    <w:rsid w:val="00F35A79"/>
    <w:rsid w:val="00F35C12"/>
    <w:rsid w:val="00F35E92"/>
    <w:rsid w:val="00F361CC"/>
    <w:rsid w:val="00F36374"/>
    <w:rsid w:val="00F3651B"/>
    <w:rsid w:val="00F369F3"/>
    <w:rsid w:val="00F36C79"/>
    <w:rsid w:val="00F36CF3"/>
    <w:rsid w:val="00F370CB"/>
    <w:rsid w:val="00F377A2"/>
    <w:rsid w:val="00F37922"/>
    <w:rsid w:val="00F37AE3"/>
    <w:rsid w:val="00F37AEF"/>
    <w:rsid w:val="00F37D30"/>
    <w:rsid w:val="00F37E4A"/>
    <w:rsid w:val="00F37ED6"/>
    <w:rsid w:val="00F37F3E"/>
    <w:rsid w:val="00F40582"/>
    <w:rsid w:val="00F4125D"/>
    <w:rsid w:val="00F413CD"/>
    <w:rsid w:val="00F41FC9"/>
    <w:rsid w:val="00F42910"/>
    <w:rsid w:val="00F42C2B"/>
    <w:rsid w:val="00F43516"/>
    <w:rsid w:val="00F437AC"/>
    <w:rsid w:val="00F439C5"/>
    <w:rsid w:val="00F43E33"/>
    <w:rsid w:val="00F443FF"/>
    <w:rsid w:val="00F44833"/>
    <w:rsid w:val="00F44AC1"/>
    <w:rsid w:val="00F44D41"/>
    <w:rsid w:val="00F45906"/>
    <w:rsid w:val="00F45A81"/>
    <w:rsid w:val="00F45DCE"/>
    <w:rsid w:val="00F45E7B"/>
    <w:rsid w:val="00F45E9D"/>
    <w:rsid w:val="00F461E2"/>
    <w:rsid w:val="00F46417"/>
    <w:rsid w:val="00F465C1"/>
    <w:rsid w:val="00F4678D"/>
    <w:rsid w:val="00F467B0"/>
    <w:rsid w:val="00F46A45"/>
    <w:rsid w:val="00F46E40"/>
    <w:rsid w:val="00F46F8B"/>
    <w:rsid w:val="00F47132"/>
    <w:rsid w:val="00F47728"/>
    <w:rsid w:val="00F47AB9"/>
    <w:rsid w:val="00F47AFE"/>
    <w:rsid w:val="00F47CBA"/>
    <w:rsid w:val="00F5000E"/>
    <w:rsid w:val="00F50020"/>
    <w:rsid w:val="00F50380"/>
    <w:rsid w:val="00F50429"/>
    <w:rsid w:val="00F5052D"/>
    <w:rsid w:val="00F50671"/>
    <w:rsid w:val="00F50849"/>
    <w:rsid w:val="00F50A3D"/>
    <w:rsid w:val="00F513BA"/>
    <w:rsid w:val="00F51447"/>
    <w:rsid w:val="00F514EF"/>
    <w:rsid w:val="00F516F4"/>
    <w:rsid w:val="00F51EAE"/>
    <w:rsid w:val="00F51FE4"/>
    <w:rsid w:val="00F526E2"/>
    <w:rsid w:val="00F52756"/>
    <w:rsid w:val="00F52A47"/>
    <w:rsid w:val="00F52A4B"/>
    <w:rsid w:val="00F52B4F"/>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8FF"/>
    <w:rsid w:val="00F56918"/>
    <w:rsid w:val="00F56B25"/>
    <w:rsid w:val="00F56C6C"/>
    <w:rsid w:val="00F56C8B"/>
    <w:rsid w:val="00F56DB7"/>
    <w:rsid w:val="00F56E09"/>
    <w:rsid w:val="00F5765A"/>
    <w:rsid w:val="00F57704"/>
    <w:rsid w:val="00F577F9"/>
    <w:rsid w:val="00F57A37"/>
    <w:rsid w:val="00F57B8D"/>
    <w:rsid w:val="00F57BE6"/>
    <w:rsid w:val="00F57C72"/>
    <w:rsid w:val="00F6021A"/>
    <w:rsid w:val="00F60470"/>
    <w:rsid w:val="00F60C7D"/>
    <w:rsid w:val="00F61158"/>
    <w:rsid w:val="00F61416"/>
    <w:rsid w:val="00F61564"/>
    <w:rsid w:val="00F615A2"/>
    <w:rsid w:val="00F615FD"/>
    <w:rsid w:val="00F61701"/>
    <w:rsid w:val="00F61902"/>
    <w:rsid w:val="00F61B79"/>
    <w:rsid w:val="00F61FDE"/>
    <w:rsid w:val="00F622E1"/>
    <w:rsid w:val="00F622E3"/>
    <w:rsid w:val="00F62377"/>
    <w:rsid w:val="00F623D9"/>
    <w:rsid w:val="00F62661"/>
    <w:rsid w:val="00F62BF1"/>
    <w:rsid w:val="00F62E2A"/>
    <w:rsid w:val="00F63289"/>
    <w:rsid w:val="00F634A6"/>
    <w:rsid w:val="00F63622"/>
    <w:rsid w:val="00F638E0"/>
    <w:rsid w:val="00F63A95"/>
    <w:rsid w:val="00F6404E"/>
    <w:rsid w:val="00F6433C"/>
    <w:rsid w:val="00F644B2"/>
    <w:rsid w:val="00F644BD"/>
    <w:rsid w:val="00F6474A"/>
    <w:rsid w:val="00F64966"/>
    <w:rsid w:val="00F64A9C"/>
    <w:rsid w:val="00F64D85"/>
    <w:rsid w:val="00F64ED2"/>
    <w:rsid w:val="00F64F9F"/>
    <w:rsid w:val="00F6522A"/>
    <w:rsid w:val="00F65273"/>
    <w:rsid w:val="00F65AFE"/>
    <w:rsid w:val="00F660B8"/>
    <w:rsid w:val="00F6624A"/>
    <w:rsid w:val="00F66252"/>
    <w:rsid w:val="00F66404"/>
    <w:rsid w:val="00F6658E"/>
    <w:rsid w:val="00F66643"/>
    <w:rsid w:val="00F669E3"/>
    <w:rsid w:val="00F66FBE"/>
    <w:rsid w:val="00F6736F"/>
    <w:rsid w:val="00F67A85"/>
    <w:rsid w:val="00F67D86"/>
    <w:rsid w:val="00F67DCD"/>
    <w:rsid w:val="00F67F10"/>
    <w:rsid w:val="00F702F1"/>
    <w:rsid w:val="00F70C81"/>
    <w:rsid w:val="00F70FCF"/>
    <w:rsid w:val="00F70FF9"/>
    <w:rsid w:val="00F71026"/>
    <w:rsid w:val="00F71042"/>
    <w:rsid w:val="00F710A0"/>
    <w:rsid w:val="00F7147C"/>
    <w:rsid w:val="00F71768"/>
    <w:rsid w:val="00F71976"/>
    <w:rsid w:val="00F71A9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B74"/>
    <w:rsid w:val="00F74B7A"/>
    <w:rsid w:val="00F74BD2"/>
    <w:rsid w:val="00F74C84"/>
    <w:rsid w:val="00F75549"/>
    <w:rsid w:val="00F7564B"/>
    <w:rsid w:val="00F76337"/>
    <w:rsid w:val="00F763DF"/>
    <w:rsid w:val="00F76B2E"/>
    <w:rsid w:val="00F76B74"/>
    <w:rsid w:val="00F76C5B"/>
    <w:rsid w:val="00F76F0F"/>
    <w:rsid w:val="00F76F71"/>
    <w:rsid w:val="00F77042"/>
    <w:rsid w:val="00F770AC"/>
    <w:rsid w:val="00F77540"/>
    <w:rsid w:val="00F77546"/>
    <w:rsid w:val="00F7792A"/>
    <w:rsid w:val="00F77C47"/>
    <w:rsid w:val="00F77CFA"/>
    <w:rsid w:val="00F77E4A"/>
    <w:rsid w:val="00F800B2"/>
    <w:rsid w:val="00F80AB6"/>
    <w:rsid w:val="00F80D8A"/>
    <w:rsid w:val="00F80D8F"/>
    <w:rsid w:val="00F81311"/>
    <w:rsid w:val="00F8136D"/>
    <w:rsid w:val="00F81424"/>
    <w:rsid w:val="00F81507"/>
    <w:rsid w:val="00F8161A"/>
    <w:rsid w:val="00F81625"/>
    <w:rsid w:val="00F817C7"/>
    <w:rsid w:val="00F81B97"/>
    <w:rsid w:val="00F81C47"/>
    <w:rsid w:val="00F81E0E"/>
    <w:rsid w:val="00F81E87"/>
    <w:rsid w:val="00F81F25"/>
    <w:rsid w:val="00F81F57"/>
    <w:rsid w:val="00F81F94"/>
    <w:rsid w:val="00F82CD8"/>
    <w:rsid w:val="00F82DD6"/>
    <w:rsid w:val="00F83301"/>
    <w:rsid w:val="00F83510"/>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25"/>
    <w:rsid w:val="00F864D4"/>
    <w:rsid w:val="00F86538"/>
    <w:rsid w:val="00F8683A"/>
    <w:rsid w:val="00F86B20"/>
    <w:rsid w:val="00F86C43"/>
    <w:rsid w:val="00F86CC0"/>
    <w:rsid w:val="00F8718E"/>
    <w:rsid w:val="00F87201"/>
    <w:rsid w:val="00F87317"/>
    <w:rsid w:val="00F879C6"/>
    <w:rsid w:val="00F87CB7"/>
    <w:rsid w:val="00F87CC2"/>
    <w:rsid w:val="00F87D07"/>
    <w:rsid w:val="00F87D7F"/>
    <w:rsid w:val="00F87DC1"/>
    <w:rsid w:val="00F87E13"/>
    <w:rsid w:val="00F87E28"/>
    <w:rsid w:val="00F87E77"/>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468"/>
    <w:rsid w:val="00F915AB"/>
    <w:rsid w:val="00F9174D"/>
    <w:rsid w:val="00F91906"/>
    <w:rsid w:val="00F91CA2"/>
    <w:rsid w:val="00F91DAC"/>
    <w:rsid w:val="00F91F7C"/>
    <w:rsid w:val="00F92174"/>
    <w:rsid w:val="00F92271"/>
    <w:rsid w:val="00F92280"/>
    <w:rsid w:val="00F923DB"/>
    <w:rsid w:val="00F92725"/>
    <w:rsid w:val="00F93A3D"/>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A04BE"/>
    <w:rsid w:val="00FA0509"/>
    <w:rsid w:val="00FA0A8A"/>
    <w:rsid w:val="00FA0E7C"/>
    <w:rsid w:val="00FA1868"/>
    <w:rsid w:val="00FA1CBF"/>
    <w:rsid w:val="00FA1D50"/>
    <w:rsid w:val="00FA1D8F"/>
    <w:rsid w:val="00FA1F1D"/>
    <w:rsid w:val="00FA2002"/>
    <w:rsid w:val="00FA2526"/>
    <w:rsid w:val="00FA25D5"/>
    <w:rsid w:val="00FA2644"/>
    <w:rsid w:val="00FA2AB0"/>
    <w:rsid w:val="00FA3520"/>
    <w:rsid w:val="00FA3557"/>
    <w:rsid w:val="00FA3C84"/>
    <w:rsid w:val="00FA4668"/>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3C2"/>
    <w:rsid w:val="00FA656D"/>
    <w:rsid w:val="00FA6686"/>
    <w:rsid w:val="00FA6A4B"/>
    <w:rsid w:val="00FA6A8C"/>
    <w:rsid w:val="00FA6BE1"/>
    <w:rsid w:val="00FA6D2E"/>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D7A"/>
    <w:rsid w:val="00FB2265"/>
    <w:rsid w:val="00FB22E5"/>
    <w:rsid w:val="00FB2803"/>
    <w:rsid w:val="00FB2864"/>
    <w:rsid w:val="00FB2A1B"/>
    <w:rsid w:val="00FB2B32"/>
    <w:rsid w:val="00FB2E73"/>
    <w:rsid w:val="00FB2F94"/>
    <w:rsid w:val="00FB35AB"/>
    <w:rsid w:val="00FB375E"/>
    <w:rsid w:val="00FB3850"/>
    <w:rsid w:val="00FB38EA"/>
    <w:rsid w:val="00FB38FF"/>
    <w:rsid w:val="00FB3CD6"/>
    <w:rsid w:val="00FB4065"/>
    <w:rsid w:val="00FB412E"/>
    <w:rsid w:val="00FB41C5"/>
    <w:rsid w:val="00FB43DE"/>
    <w:rsid w:val="00FB44CB"/>
    <w:rsid w:val="00FB4561"/>
    <w:rsid w:val="00FB45F9"/>
    <w:rsid w:val="00FB474A"/>
    <w:rsid w:val="00FB4760"/>
    <w:rsid w:val="00FB477D"/>
    <w:rsid w:val="00FB47B5"/>
    <w:rsid w:val="00FB52FD"/>
    <w:rsid w:val="00FB565B"/>
    <w:rsid w:val="00FB57A7"/>
    <w:rsid w:val="00FB5A6F"/>
    <w:rsid w:val="00FB5A83"/>
    <w:rsid w:val="00FB5B3F"/>
    <w:rsid w:val="00FB5D73"/>
    <w:rsid w:val="00FB5E7E"/>
    <w:rsid w:val="00FB6053"/>
    <w:rsid w:val="00FB612C"/>
    <w:rsid w:val="00FB6401"/>
    <w:rsid w:val="00FB67DD"/>
    <w:rsid w:val="00FB681D"/>
    <w:rsid w:val="00FB68CE"/>
    <w:rsid w:val="00FB6B9D"/>
    <w:rsid w:val="00FB6C5F"/>
    <w:rsid w:val="00FB6C8C"/>
    <w:rsid w:val="00FB72CB"/>
    <w:rsid w:val="00FB731C"/>
    <w:rsid w:val="00FB7364"/>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D2"/>
    <w:rsid w:val="00FC7F93"/>
    <w:rsid w:val="00FD04B1"/>
    <w:rsid w:val="00FD0BEE"/>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D6"/>
    <w:rsid w:val="00FD4470"/>
    <w:rsid w:val="00FD4620"/>
    <w:rsid w:val="00FD48FE"/>
    <w:rsid w:val="00FD4CC0"/>
    <w:rsid w:val="00FD4D57"/>
    <w:rsid w:val="00FD518C"/>
    <w:rsid w:val="00FD54ED"/>
    <w:rsid w:val="00FD552B"/>
    <w:rsid w:val="00FD558B"/>
    <w:rsid w:val="00FD5642"/>
    <w:rsid w:val="00FD5756"/>
    <w:rsid w:val="00FD6318"/>
    <w:rsid w:val="00FD6591"/>
    <w:rsid w:val="00FD665C"/>
    <w:rsid w:val="00FD6733"/>
    <w:rsid w:val="00FD681C"/>
    <w:rsid w:val="00FD6859"/>
    <w:rsid w:val="00FD690B"/>
    <w:rsid w:val="00FD6A3D"/>
    <w:rsid w:val="00FD6CCB"/>
    <w:rsid w:val="00FD6F9D"/>
    <w:rsid w:val="00FD7001"/>
    <w:rsid w:val="00FD7240"/>
    <w:rsid w:val="00FD72D9"/>
    <w:rsid w:val="00FD73AE"/>
    <w:rsid w:val="00FD75AC"/>
    <w:rsid w:val="00FD7695"/>
    <w:rsid w:val="00FD7F25"/>
    <w:rsid w:val="00FD7F6A"/>
    <w:rsid w:val="00FE0178"/>
    <w:rsid w:val="00FE0480"/>
    <w:rsid w:val="00FE04B6"/>
    <w:rsid w:val="00FE0500"/>
    <w:rsid w:val="00FE05E5"/>
    <w:rsid w:val="00FE0657"/>
    <w:rsid w:val="00FE07BD"/>
    <w:rsid w:val="00FE07D8"/>
    <w:rsid w:val="00FE0B02"/>
    <w:rsid w:val="00FE0DA7"/>
    <w:rsid w:val="00FE0F82"/>
    <w:rsid w:val="00FE1736"/>
    <w:rsid w:val="00FE1C1A"/>
    <w:rsid w:val="00FE1F31"/>
    <w:rsid w:val="00FE20AB"/>
    <w:rsid w:val="00FE22FE"/>
    <w:rsid w:val="00FE2A35"/>
    <w:rsid w:val="00FE2B7B"/>
    <w:rsid w:val="00FE2CFB"/>
    <w:rsid w:val="00FE2FB0"/>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508"/>
    <w:rsid w:val="00FE6A42"/>
    <w:rsid w:val="00FE6DEC"/>
    <w:rsid w:val="00FE74E2"/>
    <w:rsid w:val="00FE74FC"/>
    <w:rsid w:val="00FE753A"/>
    <w:rsid w:val="00FE761D"/>
    <w:rsid w:val="00FE7625"/>
    <w:rsid w:val="00FE76FA"/>
    <w:rsid w:val="00FE7AD5"/>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77"/>
    <w:rsid w:val="00FF29D8"/>
    <w:rsid w:val="00FF2A88"/>
    <w:rsid w:val="00FF30B9"/>
    <w:rsid w:val="00FF3345"/>
    <w:rsid w:val="00FF3451"/>
    <w:rsid w:val="00FF3542"/>
    <w:rsid w:val="00FF37C5"/>
    <w:rsid w:val="00FF3A12"/>
    <w:rsid w:val="00FF3BB7"/>
    <w:rsid w:val="00FF3CFC"/>
    <w:rsid w:val="00FF4048"/>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0CC74C5"/>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EDE3A04"/>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85BEF"/>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6018CF"/>
    <w:rsid w:val="4C7A1D31"/>
    <w:rsid w:val="4DF0088C"/>
    <w:rsid w:val="4E650FF7"/>
    <w:rsid w:val="4F051173"/>
    <w:rsid w:val="4FA53567"/>
    <w:rsid w:val="4FDA58FD"/>
    <w:rsid w:val="51135509"/>
    <w:rsid w:val="533017DF"/>
    <w:rsid w:val="53822245"/>
    <w:rsid w:val="538D4004"/>
    <w:rsid w:val="53E912D0"/>
    <w:rsid w:val="5499631B"/>
    <w:rsid w:val="565F218C"/>
    <w:rsid w:val="585C1740"/>
    <w:rsid w:val="58BD0F83"/>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EFB4736"/>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7673B8"/>
  <w15:docId w15:val="{9B025CB6-926C-427D-8372-371FAA0AB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3"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pPr>
      <w:ind w:left="851"/>
    </w:pPr>
  </w:style>
  <w:style w:type="paragraph" w:styleId="a5">
    <w:name w:val="List"/>
    <w:basedOn w:val="a1"/>
    <w:qFormat/>
    <w:pPr>
      <w:ind w:left="568" w:hanging="284"/>
    </w:pPr>
  </w:style>
  <w:style w:type="paragraph" w:styleId="70">
    <w:name w:val="toc 7"/>
    <w:basedOn w:val="60"/>
    <w:next w:val="a1"/>
    <w:semiHidden/>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pPr>
      <w:ind w:left="1418" w:hanging="1418"/>
    </w:pPr>
  </w:style>
  <w:style w:type="paragraph" w:styleId="31">
    <w:name w:val="toc 3"/>
    <w:basedOn w:val="21"/>
    <w:next w:val="a1"/>
    <w:semiHidden/>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22">
    <w:name w:val="List Number 2"/>
    <w:basedOn w:val="a6"/>
    <w:qFormat/>
    <w:pPr>
      <w:ind w:left="851"/>
    </w:pPr>
  </w:style>
  <w:style w:type="paragraph" w:styleId="a6">
    <w:name w:val="List Number"/>
    <w:basedOn w:val="a5"/>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style>
  <w:style w:type="paragraph" w:styleId="a8">
    <w:name w:val="caption"/>
    <w:basedOn w:val="a1"/>
    <w:next w:val="a1"/>
    <w:link w:val="Char"/>
    <w:uiPriority w:val="35"/>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semiHidden/>
    <w:qFormat/>
    <w:rPr>
      <w:rFonts w:ascii="Tahoma" w:hAnsi="Tahoma" w:cs="Tahoma"/>
      <w:sz w:val="16"/>
      <w:szCs w:val="16"/>
    </w:rPr>
  </w:style>
  <w:style w:type="paragraph" w:styleId="ad">
    <w:name w:val="footer"/>
    <w:basedOn w:val="ae"/>
    <w:link w:val="Char2"/>
    <w:pPr>
      <w:jc w:val="center"/>
    </w:pPr>
    <w:rPr>
      <w:i/>
    </w:rPr>
  </w:style>
  <w:style w:type="paragraph" w:styleId="ae">
    <w:name w:val="header"/>
    <w:link w:val="Char3"/>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af">
    <w:name w:val="Subtitle"/>
    <w:basedOn w:val="a1"/>
    <w:next w:val="a1"/>
    <w:link w:val="Char4"/>
    <w:qFormat/>
    <w:pPr>
      <w:spacing w:after="60"/>
      <w:jc w:val="center"/>
      <w:outlineLvl w:val="1"/>
    </w:pPr>
    <w:rPr>
      <w:rFonts w:ascii="Cambria" w:hAnsi="Cambria"/>
      <w:sz w:val="24"/>
      <w:szCs w:val="24"/>
    </w:rPr>
  </w:style>
  <w:style w:type="paragraph" w:styleId="af0">
    <w:name w:val="footnote text"/>
    <w:basedOn w:val="a1"/>
    <w:link w:val="Char5"/>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af1">
    <w:name w:val="table of figures"/>
    <w:basedOn w:val="ab"/>
    <w:next w:val="a1"/>
    <w:uiPriority w:val="99"/>
    <w:qFormat/>
    <w:pPr>
      <w:widowControl w:val="0"/>
      <w:overflowPunct/>
      <w:autoSpaceDE/>
      <w:autoSpaceDN/>
      <w:adjustRightInd/>
      <w:ind w:left="1701" w:hanging="1701"/>
      <w:jc w:val="left"/>
      <w:textAlignment w:val="auto"/>
    </w:pPr>
    <w:rPr>
      <w:rFonts w:ascii="Arial" w:eastAsiaTheme="minorEastAsia" w:hAnsi="Arial" w:cstheme="minorBidi"/>
      <w:b/>
      <w:kern w:val="2"/>
      <w:sz w:val="21"/>
      <w:szCs w:val="22"/>
    </w:rPr>
  </w:style>
  <w:style w:type="paragraph" w:styleId="90">
    <w:name w:val="toc 9"/>
    <w:basedOn w:val="80"/>
    <w:next w:val="a1"/>
    <w:semiHidden/>
    <w:qFormat/>
    <w:pPr>
      <w:ind w:left="1418" w:hanging="1418"/>
    </w:pPr>
  </w:style>
  <w:style w:type="paragraph" w:styleId="24">
    <w:name w:val="Body Text 2"/>
    <w:basedOn w:val="a1"/>
    <w:qFormat/>
    <w:pPr>
      <w:tabs>
        <w:tab w:val="left" w:pos="1985"/>
      </w:tabs>
      <w:spacing w:after="0"/>
      <w:jc w:val="both"/>
    </w:pPr>
    <w:rPr>
      <w:rFonts w:ascii="Arial" w:hAnsi="Arial"/>
      <w:sz w:val="22"/>
    </w:rPr>
  </w:style>
  <w:style w:type="paragraph" w:styleId="af2">
    <w:name w:val="Normal (Web)"/>
    <w:basedOn w:val="a1"/>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1"/>
    <w:next w:val="a1"/>
    <w:semiHidden/>
    <w:pPr>
      <w:keepLines/>
      <w:spacing w:after="0"/>
    </w:pPr>
  </w:style>
  <w:style w:type="paragraph" w:styleId="25">
    <w:name w:val="index 2"/>
    <w:basedOn w:val="11"/>
    <w:next w:val="a1"/>
    <w:semiHidden/>
    <w:qFormat/>
    <w:pPr>
      <w:ind w:left="284"/>
    </w:pPr>
  </w:style>
  <w:style w:type="paragraph" w:styleId="af3">
    <w:name w:val="annotation subject"/>
    <w:basedOn w:val="aa"/>
    <w:next w:val="aa"/>
    <w:semiHidden/>
    <w:qFormat/>
    <w:rPr>
      <w:b/>
      <w:bCs/>
    </w:rPr>
  </w:style>
  <w:style w:type="table" w:styleId="af4">
    <w:name w:val="Table Grid"/>
    <w:basedOn w:val="a3"/>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2"/>
    <w:uiPriority w:val="22"/>
    <w:qFormat/>
    <w:rPr>
      <w:b/>
      <w:bCs/>
    </w:rPr>
  </w:style>
  <w:style w:type="character" w:styleId="af6">
    <w:name w:val="page number"/>
    <w:basedOn w:val="a2"/>
    <w:qFormat/>
  </w:style>
  <w:style w:type="character" w:styleId="af7">
    <w:name w:val="FollowedHyperlink"/>
    <w:qFormat/>
    <w:rPr>
      <w:color w:val="800080"/>
      <w:u w:val="single"/>
    </w:rPr>
  </w:style>
  <w:style w:type="character" w:styleId="af8">
    <w:name w:val="Emphasis"/>
    <w:basedOn w:val="a2"/>
    <w:uiPriority w:val="20"/>
    <w:qFormat/>
    <w:rPr>
      <w:i/>
      <w:iCs/>
    </w:rPr>
  </w:style>
  <w:style w:type="character" w:styleId="af9">
    <w:name w:val="Hyperlink"/>
    <w:uiPriority w:val="99"/>
    <w:qFormat/>
    <w:rPr>
      <w:color w:val="0000FF"/>
      <w:u w:val="single"/>
    </w:rPr>
  </w:style>
  <w:style w:type="character" w:styleId="afa">
    <w:name w:val="annotation reference"/>
    <w:semiHidden/>
    <w:qFormat/>
    <w:rPr>
      <w:sz w:val="16"/>
      <w:szCs w:val="16"/>
    </w:rPr>
  </w:style>
  <w:style w:type="character" w:styleId="afb">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EditorsNote">
    <w:name w:val="Editor's Note"/>
    <w:basedOn w:val="NO"/>
    <w:rPr>
      <w:color w:val="FF0000"/>
    </w:rPr>
  </w:style>
  <w:style w:type="paragraph" w:customStyle="1" w:styleId="B1">
    <w:name w:val="B1"/>
    <w:basedOn w:val="a5"/>
    <w:link w:val="B1Char1"/>
    <w:qFormat/>
  </w:style>
  <w:style w:type="paragraph" w:customStyle="1" w:styleId="B2">
    <w:name w:val="B2"/>
    <w:basedOn w:val="20"/>
    <w:link w:val="B2Char"/>
  </w:style>
  <w:style w:type="paragraph" w:customStyle="1" w:styleId="B3">
    <w:name w:val="B3"/>
    <w:basedOn w:val="30"/>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jc w:val="both"/>
    </w:pPr>
    <w:rPr>
      <w:sz w:val="24"/>
    </w:rPr>
  </w:style>
  <w:style w:type="paragraph" w:customStyle="1" w:styleId="Equation">
    <w:name w:val="Equation"/>
    <w:basedOn w:val="a1"/>
    <w:next w:val="a1"/>
    <w:qFormat/>
    <w:pPr>
      <w:tabs>
        <w:tab w:val="right" w:pos="10206"/>
      </w:tabs>
      <w:spacing w:after="220"/>
      <w:ind w:left="1298"/>
    </w:pPr>
    <w:rPr>
      <w:rFonts w:ascii="Arial" w:hAnsi="Arial"/>
      <w:sz w:val="22"/>
    </w:rPr>
  </w:style>
  <w:style w:type="paragraph" w:customStyle="1" w:styleId="00BodyText">
    <w:name w:val="00 BodyText"/>
    <w:basedOn w:val="a1"/>
    <w:qFormat/>
    <w:pPr>
      <w:spacing w:after="220"/>
    </w:pPr>
    <w:rPr>
      <w:rFonts w:ascii="Arial" w:hAnsi="Arial"/>
      <w:sz w:val="22"/>
    </w:rPr>
  </w:style>
  <w:style w:type="paragraph" w:customStyle="1" w:styleId="11BodyText">
    <w:name w:val="11 BodyText"/>
    <w:basedOn w:val="a1"/>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Times New Roman" w:hAnsi="Arial"/>
      <w:sz w:val="36"/>
      <w:lang w:val="en-GB"/>
    </w:rPr>
  </w:style>
  <w:style w:type="character" w:customStyle="1" w:styleId="2Char">
    <w:name w:val="标题 2 Char"/>
    <w:link w:val="2"/>
    <w:qFormat/>
    <w:rPr>
      <w:rFonts w:ascii="Arial" w:eastAsia="Times New Roman" w:hAnsi="Arial"/>
      <w:sz w:val="32"/>
      <w:lang w:val="en-GB"/>
    </w:rPr>
  </w:style>
  <w:style w:type="character" w:customStyle="1" w:styleId="3Char">
    <w:name w:val="标题 3 Char"/>
    <w:link w:val="3"/>
    <w:qFormat/>
    <w:rPr>
      <w:rFonts w:ascii="Arial" w:eastAsia="Times New Roman" w:hAnsi="Arial"/>
      <w:sz w:val="28"/>
      <w:lang w:val="en-GB"/>
    </w:rPr>
  </w:style>
  <w:style w:type="character" w:customStyle="1" w:styleId="4Char">
    <w:name w:val="标题 4 Char"/>
    <w:link w:val="4"/>
    <w:qFormat/>
    <w:rPr>
      <w:rFonts w:ascii="Arial" w:eastAsia="Times New Roman" w:hAnsi="Arial"/>
      <w:sz w:val="24"/>
      <w:lang w:val="en-GB"/>
    </w:rPr>
  </w:style>
  <w:style w:type="character" w:customStyle="1" w:styleId="5Char">
    <w:name w:val="标题 5 Char"/>
    <w:link w:val="5"/>
    <w:qFormat/>
    <w:rPr>
      <w:rFonts w:ascii="Arial" w:eastAsia="Times New Roman"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basedOn w:val="a1"/>
    <w:link w:val="Char6"/>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d">
    <w:name w:val="Placeholder Text"/>
    <w:uiPriority w:val="99"/>
    <w:semiHidden/>
    <w:qFormat/>
    <w:rPr>
      <w:color w:val="808080"/>
    </w:rPr>
  </w:style>
  <w:style w:type="character" w:customStyle="1" w:styleId="Char2">
    <w:name w:val="页脚 Char"/>
    <w:link w:val="ad"/>
    <w:qFormat/>
    <w:rPr>
      <w:rFonts w:ascii="Arial" w:eastAsia="Times New Roman" w:hAnsi="Arial"/>
      <w:b/>
      <w:i/>
      <w:sz w:val="18"/>
      <w:lang w:val="en-GB"/>
    </w:rPr>
  </w:style>
  <w:style w:type="paragraph" w:customStyle="1" w:styleId="afe">
    <w:name w:val="样式 页眉"/>
    <w:basedOn w:val="ae"/>
    <w:link w:val="Char7"/>
    <w:qFormat/>
    <w:rPr>
      <w:rFonts w:eastAsia="Arial"/>
      <w:bCs/>
      <w:sz w:val="22"/>
    </w:rPr>
  </w:style>
  <w:style w:type="character" w:customStyle="1" w:styleId="Char7">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overflowPunct/>
      <w:autoSpaceDE/>
      <w:autoSpaceDN/>
      <w:adjustRightInd/>
      <w:spacing w:before="100" w:beforeAutospacing="1" w:after="0"/>
      <w:ind w:left="601" w:hanging="601"/>
      <w:textAlignment w:val="auto"/>
    </w:pPr>
    <w:rPr>
      <w:rFonts w:eastAsia="Batang"/>
      <w:b/>
      <w:i/>
      <w:szCs w:val="24"/>
      <w:lang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szCs w:val="24"/>
      <w:lang w:eastAsia="ko-KR"/>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har">
    <w:name w:val="题注 Char"/>
    <w:link w:val="a8"/>
    <w:uiPriority w:val="35"/>
    <w:qFormat/>
    <w:locked/>
    <w:rPr>
      <w:rFonts w:ascii="Times New Roman" w:hAnsi="Times New Roman"/>
      <w:b/>
      <w:bCs/>
      <w:lang w:val="en-GB" w:eastAsia="en-US"/>
    </w:rPr>
  </w:style>
  <w:style w:type="character" w:customStyle="1" w:styleId="PLChar">
    <w:name w:val="PL Char"/>
    <w:link w:val="PL"/>
    <w:qFormat/>
    <w:rPr>
      <w:rFonts w:ascii="Courier New" w:eastAsia="Times New Roman" w:hAnsi="Courier New"/>
      <w:sz w:val="16"/>
      <w:lang w:val="en-GB"/>
    </w:rPr>
  </w:style>
  <w:style w:type="character" w:customStyle="1" w:styleId="Char3">
    <w:name w:val="页眉 Char"/>
    <w:link w:val="ae"/>
    <w:qFormat/>
    <w:locked/>
    <w:rPr>
      <w:rFonts w:ascii="Arial" w:eastAsia="Times New Roman" w:hAnsi="Arial"/>
      <w:b/>
      <w:sz w:val="18"/>
      <w:lang w:val="en-GB"/>
    </w:rPr>
  </w:style>
  <w:style w:type="paragraph" w:customStyle="1" w:styleId="equation0">
    <w:name w:val="equation"/>
    <w:basedOn w:val="a1"/>
    <w:uiPriority w:val="99"/>
    <w:qFormat/>
    <w:pPr>
      <w:tabs>
        <w:tab w:val="center" w:pos="2520"/>
        <w:tab w:val="right" w:pos="5040"/>
      </w:tabs>
      <w:overflowPunct/>
      <w:autoSpaceDE/>
      <w:autoSpaceDN/>
      <w:adjustRightInd/>
      <w:spacing w:before="240" w:after="240" w:line="216" w:lineRule="auto"/>
      <w:jc w:val="center"/>
      <w:textAlignment w:val="auto"/>
    </w:pPr>
    <w:rPr>
      <w:rFonts w:ascii="Symbol" w:hAnsi="Symbol" w:cs="Symbol"/>
    </w:rPr>
  </w:style>
  <w:style w:type="paragraph" w:customStyle="1" w:styleId="tablecolhead">
    <w:name w:val="table col head"/>
    <w:basedOn w:val="a1"/>
    <w:uiPriority w:val="99"/>
    <w:qFormat/>
    <w:pPr>
      <w:overflowPunct/>
      <w:autoSpaceDE/>
      <w:autoSpaceDN/>
      <w:adjustRightInd/>
      <w:spacing w:after="0"/>
      <w:jc w:val="center"/>
      <w:textAlignment w:val="auto"/>
    </w:pPr>
    <w:rPr>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eastAsia="Times New Roman" w:hAnsi="Arial"/>
      <w:sz w:val="18"/>
      <w:lang w:val="en-GB"/>
    </w:rPr>
  </w:style>
  <w:style w:type="character" w:customStyle="1" w:styleId="THChar">
    <w:name w:val="TH Char"/>
    <w:link w:val="TH"/>
    <w:qFormat/>
    <w:locked/>
    <w:rPr>
      <w:rFonts w:ascii="Arial" w:eastAsia="Times New Roman" w:hAnsi="Arial"/>
      <w:b/>
      <w:lang w:val="en-GB"/>
    </w:rPr>
  </w:style>
  <w:style w:type="character" w:customStyle="1" w:styleId="B1Char1">
    <w:name w:val="B1 Char1"/>
    <w:link w:val="B1"/>
    <w:qFormat/>
    <w:rPr>
      <w:rFonts w:eastAsia="Times New Roman"/>
      <w:lang w:val="en-GB"/>
    </w:rPr>
  </w:style>
  <w:style w:type="paragraph" w:customStyle="1" w:styleId="NormalsmallspacingBold">
    <w:name w:val="Normal + small spacing + Bold"/>
    <w:basedOn w:val="a1"/>
    <w:qFormat/>
    <w:pPr>
      <w:spacing w:before="40" w:after="40"/>
      <w:textAlignment w:val="auto"/>
    </w:pPr>
    <w:rPr>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b"/>
    <w:qFormat/>
    <w:rPr>
      <w:rFonts w:ascii="Times" w:hAnsi="Times"/>
      <w:szCs w:val="24"/>
    </w:rPr>
  </w:style>
  <w:style w:type="paragraph" w:customStyle="1" w:styleId="a0">
    <w:name w:val="表格题注"/>
    <w:next w:val="a1"/>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a1"/>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a1"/>
    <w:next w:val="a1"/>
    <w:uiPriority w:val="99"/>
    <w:qFormat/>
    <w:pPr>
      <w:overflowPunct/>
      <w:spacing w:after="0" w:line="173" w:lineRule="atLeast"/>
      <w:textAlignment w:val="auto"/>
    </w:pPr>
    <w:rPr>
      <w:rFonts w:ascii="Swift" w:hAnsi="Swift"/>
      <w:sz w:val="24"/>
      <w:szCs w:val="24"/>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eastAsia="en-U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overflowPunct/>
      <w:autoSpaceDE/>
      <w:autoSpaceDN/>
      <w:adjustRightInd/>
      <w:spacing w:after="0"/>
      <w:textAlignment w:val="auto"/>
    </w:pPr>
    <w:rPr>
      <w:szCs w:val="24"/>
    </w:rPr>
  </w:style>
  <w:style w:type="character" w:customStyle="1" w:styleId="B10">
    <w:name w:val="B1 (文字)"/>
    <w:uiPriority w:val="99"/>
    <w:qFormat/>
    <w:rPr>
      <w:rFonts w:eastAsia="MS Mincho"/>
      <w:lang w:val="en-GB" w:eastAsia="en-US" w:bidi="ar-SA"/>
    </w:rPr>
  </w:style>
  <w:style w:type="character" w:customStyle="1" w:styleId="Char6">
    <w:name w:val="列出段落 Char"/>
    <w:link w:val="afc"/>
    <w:uiPriority w:val="34"/>
    <w:qFormat/>
    <w:rPr>
      <w:rFonts w:ascii="Calibri" w:eastAsia="Calibri" w:hAnsi="Calibri"/>
      <w:sz w:val="22"/>
      <w:szCs w:val="22"/>
      <w:lang w:eastAsia="en-US"/>
    </w:rPr>
  </w:style>
  <w:style w:type="character" w:customStyle="1" w:styleId="TACChar">
    <w:name w:val="TAC Char"/>
    <w:link w:val="TAC"/>
    <w:qFormat/>
    <w:rPr>
      <w:rFonts w:ascii="Arial" w:eastAsia="Times New Roman" w:hAnsi="Arial"/>
      <w:sz w:val="18"/>
      <w:lang w:val="en-GB"/>
    </w:rPr>
  </w:style>
  <w:style w:type="paragraph" w:customStyle="1" w:styleId="12">
    <w:name w:val="列出段落1"/>
    <w:basedOn w:val="a1"/>
    <w:link w:val="aff"/>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rPr>
  </w:style>
  <w:style w:type="paragraph" w:customStyle="1" w:styleId="Proposal">
    <w:name w:val="Proposal"/>
    <w:basedOn w:val="ab"/>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rPr>
  </w:style>
  <w:style w:type="paragraph" w:customStyle="1" w:styleId="maintext">
    <w:name w:val="main text"/>
    <w:basedOn w:val="a1"/>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overflowPunct/>
      <w:snapToGrid w:val="0"/>
      <w:spacing w:after="120"/>
      <w:jc w:val="both"/>
      <w:textAlignment w:val="auto"/>
    </w:pPr>
    <w:rPr>
      <w:sz w:val="22"/>
      <w:szCs w:val="22"/>
      <w:lang w:eastAsia="ja-JP"/>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rPr>
      <w:lang w:eastAsia="ja-JP"/>
    </w:r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5">
    <w:name w:val="脚注文本 Char"/>
    <w:link w:val="af0"/>
    <w:qFormat/>
    <w:rPr>
      <w:rFonts w:eastAsia="Times New Roman"/>
      <w:sz w:val="16"/>
      <w:lang w:val="en-GB"/>
    </w:rPr>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a2"/>
    <w:link w:val="B2"/>
    <w:qFormat/>
    <w:locked/>
    <w:rPr>
      <w:rFonts w:eastAsia="Times New Roman"/>
      <w:lang w:val="en-GB"/>
    </w:rPr>
  </w:style>
  <w:style w:type="paragraph" w:customStyle="1" w:styleId="26">
    <w:name w:val="正文2"/>
    <w:qFormat/>
    <w:pPr>
      <w:spacing w:before="100" w:beforeAutospacing="1" w:after="180"/>
    </w:pPr>
    <w:rPr>
      <w:rFonts w:eastAsia="宋体"/>
      <w:sz w:val="24"/>
      <w:szCs w:val="24"/>
    </w:rPr>
  </w:style>
  <w:style w:type="paragraph" w:customStyle="1" w:styleId="410">
    <w:name w:val="标题 41"/>
    <w:basedOn w:val="a1"/>
    <w:next w:val="26"/>
    <w:pPr>
      <w:keepNext/>
      <w:keepLines/>
      <w:widowControl w:val="0"/>
      <w:spacing w:before="120"/>
      <w:ind w:left="1418" w:hanging="1418"/>
      <w:outlineLvl w:val="3"/>
    </w:pPr>
    <w:rPr>
      <w:rFonts w:ascii="Arial" w:hAnsi="Arial"/>
      <w:sz w:val="24"/>
      <w:szCs w:val="24"/>
    </w:rPr>
  </w:style>
  <w:style w:type="paragraph" w:customStyle="1" w:styleId="Paragraphedeliste">
    <w:name w:val="Paragraphe de liste"/>
    <w:basedOn w:val="a1"/>
    <w:qFormat/>
    <w:pPr>
      <w:overflowPunct/>
      <w:autoSpaceDE/>
      <w:autoSpaceDN/>
      <w:adjustRightInd/>
      <w:spacing w:before="100" w:beforeAutospacing="1" w:after="160" w:line="256" w:lineRule="auto"/>
      <w:ind w:left="720"/>
      <w:contextualSpacing/>
      <w:textAlignment w:val="auto"/>
    </w:pPr>
    <w:rPr>
      <w:rFonts w:ascii="Calibri" w:hAnsi="Calibri" w:cs="Calibri"/>
      <w:sz w:val="22"/>
      <w:szCs w:val="22"/>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overflowPunct/>
      <w:autoSpaceDE/>
      <w:autoSpaceDN/>
      <w:adjustRightInd/>
      <w:spacing w:after="360" w:line="360" w:lineRule="exact"/>
      <w:textAlignment w:val="auto"/>
    </w:pPr>
    <w:rPr>
      <w:bCs/>
      <w:sz w:val="24"/>
    </w:rPr>
  </w:style>
  <w:style w:type="paragraph" w:styleId="aff1">
    <w:name w:val="No Spacing"/>
    <w:basedOn w:val="a1"/>
    <w:link w:val="Char8"/>
    <w:uiPriority w:val="1"/>
    <w:qFormat/>
    <w:pPr>
      <w:overflowPunct/>
      <w:autoSpaceDE/>
      <w:autoSpaceDN/>
      <w:adjustRightInd/>
      <w:spacing w:before="120" w:after="120"/>
      <w:jc w:val="both"/>
      <w:textAlignment w:val="auto"/>
    </w:pPr>
    <w:rPr>
      <w:rFonts w:ascii="Arial" w:eastAsia="나눔바른고딕" w:hAnsi="Arial" w:cstheme="minorBidi"/>
      <w:lang w:bidi="en-US"/>
    </w:rPr>
  </w:style>
  <w:style w:type="character" w:customStyle="1" w:styleId="Char8">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pPr>
      <w:widowControl w:val="0"/>
      <w:overflowPunct/>
      <w:autoSpaceDE/>
      <w:autoSpaceDN/>
      <w:adjustRightInd/>
      <w:spacing w:before="100" w:beforeAutospacing="1" w:after="100" w:afterAutospacing="1"/>
      <w:jc w:val="both"/>
      <w:textAlignment w:val="auto"/>
    </w:pPr>
    <w:rPr>
      <w:kern w:val="2"/>
      <w:sz w:val="24"/>
      <w:szCs w:val="24"/>
      <w:lang w:eastAsia="en-GB"/>
    </w:rPr>
  </w:style>
  <w:style w:type="character" w:customStyle="1" w:styleId="normaltextrun">
    <w:name w:val="normaltextrun"/>
    <w:basedOn w:val="a2"/>
  </w:style>
  <w:style w:type="character" w:customStyle="1" w:styleId="eop">
    <w:name w:val="eop"/>
    <w:basedOn w:val="a2"/>
  </w:style>
  <w:style w:type="paragraph" w:customStyle="1" w:styleId="TitleText">
    <w:name w:val="Title Text"/>
    <w:basedOn w:val="00BodyText"/>
    <w:next w:val="a1"/>
    <w:pPr>
      <w:widowControl w:val="0"/>
      <w:wordWrap w:val="0"/>
      <w:overflowPunct/>
      <w:adjustRightInd/>
      <w:jc w:val="both"/>
      <w:textAlignment w:val="auto"/>
    </w:pPr>
    <w:rPr>
      <w:rFonts w:eastAsia="MS Mincho"/>
      <w:b/>
      <w:kern w:val="2"/>
      <w:lang w:eastAsia="ja-JP"/>
    </w:rPr>
  </w:style>
  <w:style w:type="character" w:customStyle="1" w:styleId="apple-tab-span">
    <w:name w:val="apple-tab-span"/>
    <w:basedOn w:val="a2"/>
    <w:rsid w:val="00315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703018">
      <w:bodyDiv w:val="1"/>
      <w:marLeft w:val="0"/>
      <w:marRight w:val="0"/>
      <w:marTop w:val="0"/>
      <w:marBottom w:val="0"/>
      <w:divBdr>
        <w:top w:val="none" w:sz="0" w:space="0" w:color="auto"/>
        <w:left w:val="none" w:sz="0" w:space="0" w:color="auto"/>
        <w:bottom w:val="none" w:sz="0" w:space="0" w:color="auto"/>
        <w:right w:val="none" w:sz="0" w:space="0" w:color="auto"/>
      </w:divBdr>
    </w:div>
    <w:div w:id="1236473979">
      <w:bodyDiv w:val="1"/>
      <w:marLeft w:val="0"/>
      <w:marRight w:val="0"/>
      <w:marTop w:val="0"/>
      <w:marBottom w:val="0"/>
      <w:divBdr>
        <w:top w:val="none" w:sz="0" w:space="0" w:color="auto"/>
        <w:left w:val="none" w:sz="0" w:space="0" w:color="auto"/>
        <w:bottom w:val="none" w:sz="0" w:space="0" w:color="auto"/>
        <w:right w:val="none" w:sz="0" w:space="0" w:color="auto"/>
      </w:divBdr>
    </w:div>
    <w:div w:id="1365903708">
      <w:bodyDiv w:val="1"/>
      <w:marLeft w:val="0"/>
      <w:marRight w:val="0"/>
      <w:marTop w:val="0"/>
      <w:marBottom w:val="0"/>
      <w:divBdr>
        <w:top w:val="none" w:sz="0" w:space="0" w:color="auto"/>
        <w:left w:val="none" w:sz="0" w:space="0" w:color="auto"/>
        <w:bottom w:val="none" w:sz="0" w:space="0" w:color="auto"/>
        <w:right w:val="none" w:sz="0" w:space="0" w:color="auto"/>
      </w:divBdr>
    </w:div>
    <w:div w:id="1472166686">
      <w:bodyDiv w:val="1"/>
      <w:marLeft w:val="0"/>
      <w:marRight w:val="0"/>
      <w:marTop w:val="0"/>
      <w:marBottom w:val="0"/>
      <w:divBdr>
        <w:top w:val="none" w:sz="0" w:space="0" w:color="auto"/>
        <w:left w:val="none" w:sz="0" w:space="0" w:color="auto"/>
        <w:bottom w:val="none" w:sz="0" w:space="0" w:color="auto"/>
        <w:right w:val="none" w:sz="0" w:space="0" w:color="auto"/>
      </w:divBdr>
    </w:div>
    <w:div w:id="1514103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2AE67D3-2B63-4B09-B7CA-1A877CA79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41</Pages>
  <Words>18594</Words>
  <Characters>105988</Characters>
  <Application>Microsoft Office Word</Application>
  <DocSecurity>0</DocSecurity>
  <Lines>883</Lines>
  <Paragraphs>248</Paragraphs>
  <ScaleCrop>false</ScaleCrop>
  <Company>ZTE</Company>
  <LinksUpToDate>false</LinksUpToDate>
  <CharactersWithSpaces>124334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张楠</cp:lastModifiedBy>
  <cp:revision>122</cp:revision>
  <cp:lastPrinted>2011-11-09T07:49:00Z</cp:lastPrinted>
  <dcterms:created xsi:type="dcterms:W3CDTF">2021-11-17T02:24:00Z</dcterms:created>
  <dcterms:modified xsi:type="dcterms:W3CDTF">2021-11-19T03:46:00Z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2052-11.1.0.11115</vt:lpwstr>
  </property>
  <property fmtid="{D5CDD505-2E9C-101B-9397-08002B2CF9AE}" pid="16" name="CWM205a22990fde491eaf603a7e76f616c1">
    <vt:lpwstr>CWMLEnExTmQLajoscEpB609+WTgTa48RjL+VhtvcJVjfMevR0vCTIjiJlMSGB6cKKZhyzkeyZVrbSj701CmXufp+A==</vt:lpwstr>
  </property>
  <property fmtid="{D5CDD505-2E9C-101B-9397-08002B2CF9AE}" pid="17" name="ICV">
    <vt:lpwstr>82A1985704AB40D4ADF51D923FBE1925</vt:lpwstr>
  </property>
</Properties>
</file>